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BDEE" w14:textId="25F33985" w:rsidR="00420F6F" w:rsidRPr="00420F6F" w:rsidRDefault="00420F6F" w:rsidP="00F87A2C">
      <w:pPr>
        <w:jc w:val="right"/>
      </w:pPr>
    </w:p>
    <w:p w14:paraId="00C6FE78" w14:textId="243C18DC" w:rsidR="00F87A2C" w:rsidRPr="00F87A2C" w:rsidRDefault="00F87A2C" w:rsidP="00F87A2C">
      <w:pPr>
        <w:pStyle w:val="Title"/>
        <w:jc w:val="right"/>
        <w:rPr>
          <w:sz w:val="48"/>
          <w:szCs w:val="48"/>
        </w:rPr>
      </w:pPr>
      <w:r w:rsidRPr="00F87A2C">
        <w:rPr>
          <w:sz w:val="48"/>
          <w:szCs w:val="48"/>
        </w:rPr>
        <w:t>Local Access Policy</w:t>
      </w:r>
      <w:r>
        <w:rPr>
          <w:sz w:val="48"/>
          <w:szCs w:val="48"/>
        </w:rPr>
        <w:br/>
      </w:r>
      <w:r w:rsidRPr="00F87A2C">
        <w:rPr>
          <w:sz w:val="22"/>
          <w:szCs w:val="22"/>
        </w:rPr>
        <w:t>Heart Networks UK Limited</w:t>
      </w:r>
    </w:p>
    <w:p w14:paraId="75900091" w14:textId="77777777" w:rsidR="00F87A2C" w:rsidRPr="00F87A2C" w:rsidRDefault="00F87A2C" w:rsidP="00F87A2C">
      <w:pPr>
        <w:pStyle w:val="Heading1"/>
        <w:rPr>
          <w:sz w:val="36"/>
          <w:szCs w:val="36"/>
        </w:rPr>
      </w:pPr>
      <w:r w:rsidRPr="00F87A2C">
        <w:rPr>
          <w:sz w:val="36"/>
          <w:szCs w:val="36"/>
        </w:rPr>
        <w:t>Introduction</w:t>
      </w:r>
    </w:p>
    <w:p w14:paraId="5F50CB8F" w14:textId="77777777" w:rsidR="00F87A2C" w:rsidRDefault="00F87A2C" w:rsidP="00F87A2C">
      <w:r w:rsidRPr="00F87A2C">
        <w:t>This policy outlines how Heart Networks UK Limited ensures timely and appropriate clinical care for patients. Its purpose is to define the requirements and standards for managing patient access from referral to treatment and discharge. It includes processes for booking, notice requirements, patient choice, and waiting list management at all stages of referral to treatment pathways (RTT).</w:t>
      </w:r>
    </w:p>
    <w:p w14:paraId="503871AD" w14:textId="77777777" w:rsidR="00F87A2C" w:rsidRDefault="00F87A2C" w:rsidP="00F87A2C">
      <w:r w:rsidRPr="00F87A2C">
        <w:t>Referral to Treatment Pathway (RTT): As per the NHS Constitution, all patients have a legal right to begin NHS consultant-led treatment within a maximum of 18 weeks from referral, unless they choose to wait longer or it is clinically appropriate to do so.</w:t>
      </w:r>
    </w:p>
    <w:p w14:paraId="68AB6C31" w14:textId="77777777" w:rsidR="00F87A2C" w:rsidRDefault="00F87A2C" w:rsidP="00F87A2C">
      <w:r w:rsidRPr="00F87A2C">
        <w:t>The aim of this policy is to establish a clear process that prioritizes patients' needs to ensure optimal care. The Service is committed to managing patient access consistently, adhering to national waiting time standards, the NHS Constitution, and addressing known health disparities.</w:t>
      </w:r>
    </w:p>
    <w:p w14:paraId="55CF7AA1" w14:textId="329DBEBF" w:rsidR="00F87A2C" w:rsidRPr="00F87A2C" w:rsidRDefault="00F87A2C" w:rsidP="00F87A2C">
      <w:r w:rsidRPr="00F87A2C">
        <w:t>This policy applies to all staff and contractors within the Service.</w:t>
      </w:r>
    </w:p>
    <w:p w14:paraId="7AE14F6B" w14:textId="77777777" w:rsidR="00F87A2C" w:rsidRPr="00F87A2C" w:rsidRDefault="00F87A2C" w:rsidP="00F87A2C">
      <w:pPr>
        <w:pStyle w:val="Heading1"/>
        <w:rPr>
          <w:sz w:val="36"/>
          <w:szCs w:val="36"/>
        </w:rPr>
      </w:pPr>
      <w:r w:rsidRPr="00F87A2C">
        <w:rPr>
          <w:sz w:val="36"/>
          <w:szCs w:val="36"/>
        </w:rPr>
        <w:t>Objectives</w:t>
      </w:r>
    </w:p>
    <w:p w14:paraId="097A497A" w14:textId="77777777" w:rsidR="00F87A2C" w:rsidRDefault="00F87A2C" w:rsidP="00F87A2C">
      <w:pPr>
        <w:pStyle w:val="ListParagraph"/>
        <w:numPr>
          <w:ilvl w:val="0"/>
          <w:numId w:val="18"/>
        </w:numPr>
      </w:pPr>
      <w:r w:rsidRPr="00F87A2C">
        <w:t>Ensure patients can access information, care, or treatment by an appropriate member of the Organisation in line with clinical needs.</w:t>
      </w:r>
    </w:p>
    <w:p w14:paraId="0F989ED4" w14:textId="77777777" w:rsidR="00F87A2C" w:rsidRDefault="00F87A2C" w:rsidP="00F87A2C">
      <w:pPr>
        <w:pStyle w:val="ListParagraph"/>
        <w:numPr>
          <w:ilvl w:val="0"/>
          <w:numId w:val="18"/>
        </w:numPr>
      </w:pPr>
      <w:r w:rsidRPr="00F87A2C">
        <w:t>Prevent patients' access from being restricted based on characteristics such as age, disability, gender, race, religion, sexual orientation, gender reassignment, or socio-economic status. Note: The Service does not cater to patients under 18 or those who are pregnant.</w:t>
      </w:r>
    </w:p>
    <w:p w14:paraId="6C8EEE16" w14:textId="77777777" w:rsidR="00F87A2C" w:rsidRDefault="00F87A2C" w:rsidP="00F87A2C">
      <w:pPr>
        <w:pStyle w:val="ListParagraph"/>
        <w:numPr>
          <w:ilvl w:val="0"/>
          <w:numId w:val="18"/>
        </w:numPr>
      </w:pPr>
      <w:r w:rsidRPr="00F87A2C">
        <w:t>Enable clinicians and staff to manage resources effectively to meet demand and maintain high levels of service and access.</w:t>
      </w:r>
    </w:p>
    <w:p w14:paraId="2BF3B4B3" w14:textId="77777777" w:rsidR="00F87A2C" w:rsidRDefault="00F87A2C" w:rsidP="00F87A2C">
      <w:pPr>
        <w:pStyle w:val="ListParagraph"/>
        <w:numPr>
          <w:ilvl w:val="0"/>
          <w:numId w:val="18"/>
        </w:numPr>
      </w:pPr>
      <w:r w:rsidRPr="00F87A2C">
        <w:t>Involve patients and carers in monitoring and developing systems to meet their needs effectively.</w:t>
      </w:r>
    </w:p>
    <w:p w14:paraId="6C3A1372" w14:textId="77777777" w:rsidR="00F87A2C" w:rsidRPr="00F87A2C" w:rsidRDefault="00F87A2C" w:rsidP="00F87A2C">
      <w:pPr>
        <w:pStyle w:val="Heading1"/>
        <w:rPr>
          <w:sz w:val="36"/>
          <w:szCs w:val="36"/>
        </w:rPr>
      </w:pPr>
      <w:r w:rsidRPr="00F87A2C">
        <w:rPr>
          <w:sz w:val="36"/>
          <w:szCs w:val="36"/>
        </w:rPr>
        <w:t>Patients’ Rights</w:t>
      </w:r>
    </w:p>
    <w:p w14:paraId="06D7F638" w14:textId="77777777" w:rsidR="00F87A2C" w:rsidRDefault="00F87A2C" w:rsidP="00F87A2C">
      <w:r w:rsidRPr="00F87A2C">
        <w:t>As a patient, you have the right to:</w:t>
      </w:r>
    </w:p>
    <w:p w14:paraId="2FEF907D" w14:textId="77777777" w:rsidR="00F87A2C" w:rsidRDefault="00F87A2C" w:rsidP="00F87A2C">
      <w:pPr>
        <w:pStyle w:val="ListParagraph"/>
        <w:numPr>
          <w:ilvl w:val="0"/>
          <w:numId w:val="19"/>
        </w:numPr>
      </w:pPr>
      <w:r w:rsidRPr="00F87A2C">
        <w:t>Access easily understandable information about the Service.</w:t>
      </w:r>
    </w:p>
    <w:p w14:paraId="32944694" w14:textId="77777777" w:rsidR="00F87A2C" w:rsidRDefault="00F87A2C" w:rsidP="00F87A2C">
      <w:pPr>
        <w:pStyle w:val="ListParagraph"/>
        <w:numPr>
          <w:ilvl w:val="0"/>
          <w:numId w:val="19"/>
        </w:numPr>
      </w:pPr>
      <w:r w:rsidRPr="00F87A2C">
        <w:t>Receive clear information about your treatment in a suitable format and language to make informed decisions with your clinician.</w:t>
      </w:r>
    </w:p>
    <w:p w14:paraId="1706A802" w14:textId="77777777" w:rsidR="00F87A2C" w:rsidRDefault="00F87A2C" w:rsidP="00F87A2C">
      <w:pPr>
        <w:pStyle w:val="ListParagraph"/>
        <w:numPr>
          <w:ilvl w:val="0"/>
          <w:numId w:val="19"/>
        </w:numPr>
      </w:pPr>
      <w:r w:rsidRPr="00F87A2C">
        <w:t>Enjoy privacy and confidentiality.</w:t>
      </w:r>
    </w:p>
    <w:p w14:paraId="06446F46" w14:textId="77777777" w:rsidR="00F87A2C" w:rsidRDefault="00F87A2C" w:rsidP="00F87A2C">
      <w:pPr>
        <w:pStyle w:val="ListParagraph"/>
        <w:numPr>
          <w:ilvl w:val="0"/>
          <w:numId w:val="19"/>
        </w:numPr>
      </w:pPr>
      <w:r w:rsidRPr="00F87A2C">
        <w:t>Be treated with dignity and respect, with access to a chaperone if requested.</w:t>
      </w:r>
    </w:p>
    <w:p w14:paraId="66183301" w14:textId="77777777" w:rsidR="00F87A2C" w:rsidRDefault="00F87A2C" w:rsidP="00F87A2C">
      <w:pPr>
        <w:pStyle w:val="ListParagraph"/>
        <w:numPr>
          <w:ilvl w:val="0"/>
          <w:numId w:val="19"/>
        </w:numPr>
      </w:pPr>
      <w:r w:rsidRPr="00F87A2C">
        <w:t>Provide feedback or lodge complaints if not satisfied with the Service.</w:t>
      </w:r>
    </w:p>
    <w:p w14:paraId="1E8BF62B" w14:textId="77777777" w:rsidR="00F87A2C" w:rsidRDefault="00F87A2C" w:rsidP="00F87A2C">
      <w:pPr>
        <w:pStyle w:val="ListParagraph"/>
        <w:numPr>
          <w:ilvl w:val="0"/>
          <w:numId w:val="19"/>
        </w:numPr>
      </w:pPr>
      <w:r w:rsidRPr="00F87A2C">
        <w:t>Choose the clinic location for appointments.</w:t>
      </w:r>
    </w:p>
    <w:p w14:paraId="5C1C2A25" w14:textId="77777777" w:rsidR="00F87A2C" w:rsidRPr="00F87A2C" w:rsidRDefault="00F87A2C" w:rsidP="00F87A2C">
      <w:pPr>
        <w:pStyle w:val="Heading1"/>
        <w:rPr>
          <w:sz w:val="36"/>
          <w:szCs w:val="36"/>
        </w:rPr>
      </w:pPr>
      <w:r w:rsidRPr="00F87A2C">
        <w:rPr>
          <w:sz w:val="36"/>
          <w:szCs w:val="36"/>
        </w:rPr>
        <w:lastRenderedPageBreak/>
        <w:t>Patients’ Responsibilities</w:t>
      </w:r>
    </w:p>
    <w:p w14:paraId="45DB4DED" w14:textId="77777777" w:rsidR="00F87A2C" w:rsidRDefault="00F87A2C" w:rsidP="00F87A2C">
      <w:r w:rsidRPr="00F87A2C">
        <w:t>As a patient, it is your responsibility to:</w:t>
      </w:r>
    </w:p>
    <w:p w14:paraId="0279FD20" w14:textId="77777777" w:rsidR="00F87A2C" w:rsidRDefault="00F87A2C" w:rsidP="00F87A2C">
      <w:pPr>
        <w:pStyle w:val="ListParagraph"/>
        <w:numPr>
          <w:ilvl w:val="0"/>
          <w:numId w:val="17"/>
        </w:numPr>
      </w:pPr>
      <w:r w:rsidRPr="00F87A2C">
        <w:t>Treat all staff with respect.</w:t>
      </w:r>
    </w:p>
    <w:p w14:paraId="5FC93214" w14:textId="77777777" w:rsidR="00F87A2C" w:rsidRDefault="00F87A2C" w:rsidP="00F87A2C">
      <w:pPr>
        <w:pStyle w:val="ListParagraph"/>
        <w:numPr>
          <w:ilvl w:val="0"/>
          <w:numId w:val="17"/>
        </w:numPr>
      </w:pPr>
      <w:r w:rsidRPr="00F87A2C">
        <w:t>Attend appointments punctually.</w:t>
      </w:r>
    </w:p>
    <w:p w14:paraId="070A96A1" w14:textId="697F3ACD" w:rsidR="00F87A2C" w:rsidRDefault="00F87A2C" w:rsidP="00F87A2C">
      <w:pPr>
        <w:pStyle w:val="ListParagraph"/>
        <w:numPr>
          <w:ilvl w:val="0"/>
          <w:numId w:val="17"/>
        </w:numPr>
      </w:pPr>
      <w:r w:rsidRPr="00F87A2C">
        <w:t xml:space="preserve">Cancel unwanted appointments promptly to allow others to </w:t>
      </w:r>
      <w:r>
        <w:t>attend</w:t>
      </w:r>
      <w:r w:rsidRPr="00F87A2C">
        <w:t>.</w:t>
      </w:r>
    </w:p>
    <w:p w14:paraId="3829659D" w14:textId="77777777" w:rsidR="00F87A2C" w:rsidRDefault="00F87A2C" w:rsidP="00F87A2C">
      <w:pPr>
        <w:pStyle w:val="ListParagraph"/>
        <w:numPr>
          <w:ilvl w:val="0"/>
          <w:numId w:val="17"/>
        </w:numPr>
      </w:pPr>
      <w:r w:rsidRPr="00F87A2C">
        <w:t>Inform the Service about any special needs, including communication requirements, for necessary accommodations.</w:t>
      </w:r>
    </w:p>
    <w:p w14:paraId="44DAC5B6" w14:textId="77777777" w:rsidR="00F87A2C" w:rsidRDefault="00F87A2C" w:rsidP="00F87A2C">
      <w:pPr>
        <w:pStyle w:val="ListParagraph"/>
        <w:numPr>
          <w:ilvl w:val="0"/>
          <w:numId w:val="17"/>
        </w:numPr>
      </w:pPr>
      <w:r w:rsidRPr="00F87A2C">
        <w:t>Raise concerns about care if unsure or dissatisfied, enabling clarification or rectification.</w:t>
      </w:r>
    </w:p>
    <w:p w14:paraId="4D837995" w14:textId="77777777" w:rsidR="00F87A2C" w:rsidRDefault="00F87A2C" w:rsidP="00F87A2C">
      <w:pPr>
        <w:pStyle w:val="ListParagraph"/>
        <w:numPr>
          <w:ilvl w:val="0"/>
          <w:numId w:val="17"/>
        </w:numPr>
      </w:pPr>
      <w:r w:rsidRPr="00F87A2C">
        <w:t>Make efforts to maintain your health.</w:t>
      </w:r>
    </w:p>
    <w:p w14:paraId="17C64DB7" w14:textId="77777777" w:rsidR="00F87A2C" w:rsidRDefault="00F87A2C" w:rsidP="00F87A2C">
      <w:pPr>
        <w:pStyle w:val="ListParagraph"/>
        <w:numPr>
          <w:ilvl w:val="0"/>
          <w:numId w:val="17"/>
        </w:numPr>
      </w:pPr>
      <w:r w:rsidRPr="00F87A2C">
        <w:t>Provide accurate health and status information.</w:t>
      </w:r>
    </w:p>
    <w:p w14:paraId="7C2D42EC" w14:textId="77777777" w:rsidR="00F87A2C" w:rsidRDefault="00F87A2C" w:rsidP="00F87A2C">
      <w:pPr>
        <w:pStyle w:val="ListParagraph"/>
        <w:numPr>
          <w:ilvl w:val="0"/>
          <w:numId w:val="17"/>
        </w:numPr>
      </w:pPr>
      <w:r w:rsidRPr="00F87A2C">
        <w:t>Use the Organisation's services appropriately.</w:t>
      </w:r>
    </w:p>
    <w:p w14:paraId="2FB30CE1" w14:textId="77777777" w:rsidR="00F87A2C" w:rsidRPr="00F87A2C" w:rsidRDefault="00F87A2C" w:rsidP="00F87A2C">
      <w:pPr>
        <w:pStyle w:val="Heading1"/>
        <w:rPr>
          <w:sz w:val="36"/>
          <w:szCs w:val="36"/>
        </w:rPr>
      </w:pPr>
      <w:r w:rsidRPr="00F87A2C">
        <w:rPr>
          <w:sz w:val="36"/>
          <w:szCs w:val="36"/>
        </w:rPr>
        <w:t>Organisation Opening Hours and Appointment Times</w:t>
      </w:r>
    </w:p>
    <w:tbl>
      <w:tblPr>
        <w:tblStyle w:val="PlainTable1"/>
        <w:tblW w:w="0" w:type="auto"/>
        <w:tblLook w:val="0420" w:firstRow="1" w:lastRow="0" w:firstColumn="0" w:lastColumn="0" w:noHBand="0" w:noVBand="1"/>
      </w:tblPr>
      <w:tblGrid>
        <w:gridCol w:w="1803"/>
        <w:gridCol w:w="1803"/>
        <w:gridCol w:w="1803"/>
        <w:gridCol w:w="1803"/>
        <w:gridCol w:w="1804"/>
      </w:tblGrid>
      <w:tr w:rsidR="00F87A2C" w:rsidRPr="00F87A2C" w14:paraId="4AD1C898" w14:textId="77777777" w:rsidTr="00F87A2C">
        <w:trPr>
          <w:cnfStyle w:val="100000000000" w:firstRow="1" w:lastRow="0" w:firstColumn="0" w:lastColumn="0" w:oddVBand="0" w:evenVBand="0" w:oddHBand="0" w:evenHBand="0" w:firstRowFirstColumn="0" w:firstRowLastColumn="0" w:lastRowFirstColumn="0" w:lastRowLastColumn="0"/>
        </w:trPr>
        <w:tc>
          <w:tcPr>
            <w:tcW w:w="1803" w:type="dxa"/>
          </w:tcPr>
          <w:p w14:paraId="0BE1B753" w14:textId="6D093BCB" w:rsidR="00F87A2C" w:rsidRPr="00F87A2C" w:rsidRDefault="00F87A2C" w:rsidP="00F87A2C">
            <w:r>
              <w:t>Branch</w:t>
            </w:r>
          </w:p>
        </w:tc>
        <w:tc>
          <w:tcPr>
            <w:tcW w:w="1803" w:type="dxa"/>
          </w:tcPr>
          <w:p w14:paraId="6D42A465" w14:textId="1647CD04" w:rsidR="00F87A2C" w:rsidRPr="00F87A2C" w:rsidRDefault="00F87A2C" w:rsidP="00F87A2C">
            <w:r>
              <w:t>Name</w:t>
            </w:r>
          </w:p>
        </w:tc>
        <w:tc>
          <w:tcPr>
            <w:tcW w:w="1803" w:type="dxa"/>
          </w:tcPr>
          <w:p w14:paraId="30A9AE34" w14:textId="5B90C614" w:rsidR="00F87A2C" w:rsidRPr="00F87A2C" w:rsidRDefault="00F87A2C" w:rsidP="00F87A2C">
            <w:r>
              <w:t>Address</w:t>
            </w:r>
          </w:p>
        </w:tc>
        <w:tc>
          <w:tcPr>
            <w:tcW w:w="1803" w:type="dxa"/>
          </w:tcPr>
          <w:p w14:paraId="788CCFF0" w14:textId="5C0BCCDF" w:rsidR="00F87A2C" w:rsidRPr="00F87A2C" w:rsidRDefault="00F87A2C" w:rsidP="00F87A2C">
            <w:r>
              <w:t>City</w:t>
            </w:r>
          </w:p>
        </w:tc>
        <w:tc>
          <w:tcPr>
            <w:tcW w:w="1804" w:type="dxa"/>
          </w:tcPr>
          <w:p w14:paraId="4D121C3A" w14:textId="4BBF7E86" w:rsidR="00F87A2C" w:rsidRPr="00F87A2C" w:rsidRDefault="00F87A2C" w:rsidP="00F87A2C">
            <w:r>
              <w:t>Postal Code</w:t>
            </w:r>
          </w:p>
        </w:tc>
      </w:tr>
      <w:tr w:rsidR="00F87A2C" w:rsidRPr="00F87A2C" w14:paraId="1D7CFBF3" w14:textId="77777777" w:rsidTr="00F87A2C">
        <w:trPr>
          <w:cnfStyle w:val="000000100000" w:firstRow="0" w:lastRow="0" w:firstColumn="0" w:lastColumn="0" w:oddVBand="0" w:evenVBand="0" w:oddHBand="1" w:evenHBand="0" w:firstRowFirstColumn="0" w:firstRowLastColumn="0" w:lastRowFirstColumn="0" w:lastRowLastColumn="0"/>
        </w:trPr>
        <w:tc>
          <w:tcPr>
            <w:tcW w:w="1803" w:type="dxa"/>
          </w:tcPr>
          <w:p w14:paraId="52954953" w14:textId="5EDA5E36" w:rsidR="00F87A2C" w:rsidRDefault="00F87A2C" w:rsidP="00F87A2C">
            <w:r>
              <w:t>Main Branch</w:t>
            </w:r>
          </w:p>
        </w:tc>
        <w:tc>
          <w:tcPr>
            <w:tcW w:w="1803" w:type="dxa"/>
          </w:tcPr>
          <w:p w14:paraId="442ACD58" w14:textId="7A5D1BA6" w:rsidR="00F87A2C" w:rsidRDefault="00F87A2C" w:rsidP="00F87A2C">
            <w:r>
              <w:t>Heart Networks UK Limited</w:t>
            </w:r>
          </w:p>
        </w:tc>
        <w:tc>
          <w:tcPr>
            <w:tcW w:w="1803" w:type="dxa"/>
          </w:tcPr>
          <w:p w14:paraId="39147ACB" w14:textId="60FAADEF" w:rsidR="00F87A2C" w:rsidRDefault="00F87A2C" w:rsidP="00F87A2C">
            <w:r>
              <w:t>15 Christie Way</w:t>
            </w:r>
          </w:p>
        </w:tc>
        <w:tc>
          <w:tcPr>
            <w:tcW w:w="1803" w:type="dxa"/>
          </w:tcPr>
          <w:p w14:paraId="61B77EB5" w14:textId="0BEF82C5" w:rsidR="00F87A2C" w:rsidRDefault="00F87A2C" w:rsidP="00F87A2C">
            <w:r>
              <w:t>Manchester</w:t>
            </w:r>
          </w:p>
        </w:tc>
        <w:tc>
          <w:tcPr>
            <w:tcW w:w="1804" w:type="dxa"/>
          </w:tcPr>
          <w:p w14:paraId="5784D219" w14:textId="7E7863FA" w:rsidR="00F87A2C" w:rsidRDefault="00F87A2C" w:rsidP="00F87A2C">
            <w:r>
              <w:t>M21 7QY</w:t>
            </w:r>
          </w:p>
        </w:tc>
      </w:tr>
      <w:tr w:rsidR="00F87A2C" w:rsidRPr="00F87A2C" w14:paraId="1EA7DCA3" w14:textId="77777777" w:rsidTr="00F87A2C">
        <w:tc>
          <w:tcPr>
            <w:tcW w:w="1803" w:type="dxa"/>
          </w:tcPr>
          <w:p w14:paraId="3133E0D0" w14:textId="28C811A3" w:rsidR="00F87A2C" w:rsidRDefault="00F87A2C" w:rsidP="00F87A2C">
            <w:r>
              <w:t>North Manchester Branch</w:t>
            </w:r>
          </w:p>
        </w:tc>
        <w:tc>
          <w:tcPr>
            <w:tcW w:w="1803" w:type="dxa"/>
          </w:tcPr>
          <w:p w14:paraId="2E444782" w14:textId="1E596B71" w:rsidR="00F87A2C" w:rsidRDefault="00F87A2C" w:rsidP="00F87A2C">
            <w:r>
              <w:t>The Manchester Institute of Health and Performance</w:t>
            </w:r>
          </w:p>
        </w:tc>
        <w:tc>
          <w:tcPr>
            <w:tcW w:w="1803" w:type="dxa"/>
          </w:tcPr>
          <w:p w14:paraId="0C7805B2" w14:textId="677B7DA1" w:rsidR="00F87A2C" w:rsidRDefault="00F87A2C" w:rsidP="00F87A2C">
            <w:r>
              <w:t>299 Alan Turing Way</w:t>
            </w:r>
          </w:p>
        </w:tc>
        <w:tc>
          <w:tcPr>
            <w:tcW w:w="1803" w:type="dxa"/>
          </w:tcPr>
          <w:p w14:paraId="737F2B5E" w14:textId="078F7072" w:rsidR="00F87A2C" w:rsidRDefault="00F87A2C" w:rsidP="00F87A2C">
            <w:r>
              <w:t>Manchester</w:t>
            </w:r>
          </w:p>
        </w:tc>
        <w:tc>
          <w:tcPr>
            <w:tcW w:w="1804" w:type="dxa"/>
          </w:tcPr>
          <w:p w14:paraId="70AFADB5" w14:textId="24D9688F" w:rsidR="00F87A2C" w:rsidRDefault="00F87A2C" w:rsidP="00F87A2C">
            <w:r>
              <w:t>M11 3BS</w:t>
            </w:r>
          </w:p>
        </w:tc>
      </w:tr>
    </w:tbl>
    <w:p w14:paraId="66CF5712" w14:textId="5B36DC72" w:rsidR="00F87A2C" w:rsidRDefault="00F87A2C" w:rsidP="00F87A2C"/>
    <w:tbl>
      <w:tblPr>
        <w:tblStyle w:val="PlainTable1"/>
        <w:tblW w:w="0" w:type="auto"/>
        <w:tblLook w:val="0420" w:firstRow="1" w:lastRow="0" w:firstColumn="0" w:lastColumn="0" w:noHBand="0" w:noVBand="1"/>
      </w:tblPr>
      <w:tblGrid>
        <w:gridCol w:w="4508"/>
        <w:gridCol w:w="4508"/>
      </w:tblGrid>
      <w:tr w:rsidR="00F87A2C" w:rsidRPr="00F87A2C" w14:paraId="04B6C793" w14:textId="77777777" w:rsidTr="00F87A2C">
        <w:trPr>
          <w:cnfStyle w:val="100000000000" w:firstRow="1" w:lastRow="0" w:firstColumn="0" w:lastColumn="0" w:oddVBand="0" w:evenVBand="0" w:oddHBand="0" w:evenHBand="0" w:firstRowFirstColumn="0" w:firstRowLastColumn="0" w:lastRowFirstColumn="0" w:lastRowLastColumn="0"/>
        </w:trPr>
        <w:tc>
          <w:tcPr>
            <w:tcW w:w="4508" w:type="dxa"/>
          </w:tcPr>
          <w:p w14:paraId="75910F30" w14:textId="7312FA69" w:rsidR="00F87A2C" w:rsidRPr="00F87A2C" w:rsidRDefault="00F87A2C" w:rsidP="00F87A2C">
            <w:r>
              <w:t>Contact Information</w:t>
            </w:r>
          </w:p>
        </w:tc>
        <w:tc>
          <w:tcPr>
            <w:tcW w:w="4508" w:type="dxa"/>
          </w:tcPr>
          <w:p w14:paraId="590089E4" w14:textId="3A1D8E33" w:rsidR="00F87A2C" w:rsidRPr="00F87A2C" w:rsidRDefault="00F87A2C" w:rsidP="00F87A2C">
            <w:r>
              <w:t>Details</w:t>
            </w:r>
          </w:p>
        </w:tc>
      </w:tr>
      <w:tr w:rsidR="00F87A2C" w:rsidRPr="00F87A2C" w14:paraId="5C0EB4C6" w14:textId="77777777" w:rsidTr="00F87A2C">
        <w:trPr>
          <w:cnfStyle w:val="000000100000" w:firstRow="0" w:lastRow="0" w:firstColumn="0" w:lastColumn="0" w:oddVBand="0" w:evenVBand="0" w:oddHBand="1" w:evenHBand="0" w:firstRowFirstColumn="0" w:firstRowLastColumn="0" w:lastRowFirstColumn="0" w:lastRowLastColumn="0"/>
        </w:trPr>
        <w:tc>
          <w:tcPr>
            <w:tcW w:w="4508" w:type="dxa"/>
          </w:tcPr>
          <w:p w14:paraId="26585E19" w14:textId="3B3A01BF" w:rsidR="00F87A2C" w:rsidRDefault="00F87A2C" w:rsidP="00F87A2C">
            <w:r>
              <w:t>Telephone</w:t>
            </w:r>
          </w:p>
        </w:tc>
        <w:tc>
          <w:tcPr>
            <w:tcW w:w="4508" w:type="dxa"/>
          </w:tcPr>
          <w:p w14:paraId="271E9A35" w14:textId="3B61D2DB" w:rsidR="00F87A2C" w:rsidRDefault="00F87A2C" w:rsidP="00F87A2C">
            <w:r>
              <w:t>0161 749 4755</w:t>
            </w:r>
          </w:p>
        </w:tc>
      </w:tr>
      <w:tr w:rsidR="00F87A2C" w:rsidRPr="00F87A2C" w14:paraId="7EAAFBD5" w14:textId="77777777" w:rsidTr="00F87A2C">
        <w:tc>
          <w:tcPr>
            <w:tcW w:w="4508" w:type="dxa"/>
          </w:tcPr>
          <w:p w14:paraId="1B3CDF84" w14:textId="008C2321" w:rsidR="00F87A2C" w:rsidRDefault="00F87A2C" w:rsidP="00F87A2C">
            <w:r>
              <w:t>Website</w:t>
            </w:r>
          </w:p>
        </w:tc>
        <w:tc>
          <w:tcPr>
            <w:tcW w:w="4508" w:type="dxa"/>
          </w:tcPr>
          <w:p w14:paraId="09578C38" w14:textId="1B2C4923" w:rsidR="00F87A2C" w:rsidRDefault="00F87A2C" w:rsidP="00F87A2C">
            <w:r>
              <w:t>www.heartnetworks.org</w:t>
            </w:r>
          </w:p>
        </w:tc>
      </w:tr>
    </w:tbl>
    <w:p w14:paraId="212AD18A" w14:textId="2DFE805C" w:rsidR="00F87A2C" w:rsidRDefault="00F87A2C" w:rsidP="00F87A2C">
      <w:r>
        <w:br/>
      </w:r>
      <w:r w:rsidRPr="00F87A2C">
        <w:t>Opening Hours: Monday to Friday, 09:00 – 17:00.</w:t>
      </w:r>
    </w:p>
    <w:p w14:paraId="0934507C" w14:textId="77777777" w:rsidR="00F87A2C" w:rsidRDefault="00F87A2C" w:rsidP="00F87A2C">
      <w:r w:rsidRPr="00F87A2C">
        <w:t>Appointments are arranged via GP referrals in North, Central, and South Manchester localities through the NHS E-referral Service.</w:t>
      </w:r>
    </w:p>
    <w:p w14:paraId="685DD693" w14:textId="77777777" w:rsidR="00F87A2C" w:rsidRDefault="00F87A2C" w:rsidP="00F87A2C">
      <w:r w:rsidRPr="00F87A2C">
        <w:t>Appointment Duration: Standard appointments last 20 minutes. Longer appointments can be requested if additional time is needed.</w:t>
      </w:r>
    </w:p>
    <w:p w14:paraId="677B4F72" w14:textId="77777777" w:rsidR="00F87A2C" w:rsidRDefault="00F87A2C" w:rsidP="00F87A2C">
      <w:r w:rsidRPr="00F87A2C">
        <w:t>During out-of-office hours (17:00 – 09:00), calls are directed to an answerphone system.</w:t>
      </w:r>
    </w:p>
    <w:p w14:paraId="2BBC7028" w14:textId="77777777" w:rsidR="00F87A2C" w:rsidRDefault="00F87A2C" w:rsidP="00F87A2C">
      <w:r w:rsidRPr="00F87A2C">
        <w:t>Note: The Service may occasionally close for staff training or essential meetings. Notifications will be displayed on the website and within the clinic.</w:t>
      </w:r>
    </w:p>
    <w:p w14:paraId="765D0CA8" w14:textId="77777777" w:rsidR="00F87A2C" w:rsidRPr="00F87A2C" w:rsidRDefault="00F87A2C" w:rsidP="00F87A2C">
      <w:pPr>
        <w:pStyle w:val="Heading1"/>
        <w:rPr>
          <w:sz w:val="36"/>
          <w:szCs w:val="36"/>
        </w:rPr>
      </w:pPr>
      <w:r w:rsidRPr="00F87A2C">
        <w:rPr>
          <w:sz w:val="36"/>
          <w:szCs w:val="36"/>
        </w:rPr>
        <w:t>Missed or Late Appointments</w:t>
      </w:r>
    </w:p>
    <w:p w14:paraId="754B96E1" w14:textId="77777777" w:rsidR="00F87A2C" w:rsidRDefault="00F87A2C" w:rsidP="00F87A2C">
      <w:r w:rsidRPr="00F87A2C">
        <w:t>Unwanted appointments should be cancelled promptly to allow others to use the slots.</w:t>
      </w:r>
    </w:p>
    <w:p w14:paraId="3B41B94E" w14:textId="77777777" w:rsidR="00F87A2C" w:rsidRDefault="00F87A2C" w:rsidP="00F87A2C">
      <w:pPr>
        <w:pStyle w:val="ListParagraph"/>
        <w:numPr>
          <w:ilvl w:val="0"/>
          <w:numId w:val="20"/>
        </w:numPr>
      </w:pPr>
      <w:r w:rsidRPr="00F87A2C">
        <w:t>Cancel appointments via telephone or the appointment reminder message system.</w:t>
      </w:r>
    </w:p>
    <w:p w14:paraId="64CA5E20" w14:textId="77777777" w:rsidR="00F87A2C" w:rsidRDefault="00F87A2C" w:rsidP="00F87A2C">
      <w:pPr>
        <w:pStyle w:val="ListParagraph"/>
        <w:numPr>
          <w:ilvl w:val="0"/>
          <w:numId w:val="20"/>
        </w:numPr>
      </w:pPr>
      <w:r w:rsidRPr="00F87A2C">
        <w:t>Arriving late may require waiting until the end of the clinic to be seen.</w:t>
      </w:r>
    </w:p>
    <w:p w14:paraId="44847BAB" w14:textId="77777777" w:rsidR="00F87A2C" w:rsidRDefault="00F87A2C" w:rsidP="00F87A2C">
      <w:pPr>
        <w:pStyle w:val="ListParagraph"/>
        <w:numPr>
          <w:ilvl w:val="0"/>
          <w:numId w:val="20"/>
        </w:numPr>
      </w:pPr>
      <w:r w:rsidRPr="00F87A2C">
        <w:t>The Reception team will inform patients of delays, allowing them the option to rebook.</w:t>
      </w:r>
    </w:p>
    <w:p w14:paraId="7FC3360F" w14:textId="77777777" w:rsidR="00F87A2C" w:rsidRDefault="00F87A2C" w:rsidP="00F87A2C">
      <w:pPr>
        <w:pStyle w:val="ListParagraph"/>
        <w:numPr>
          <w:ilvl w:val="0"/>
          <w:numId w:val="20"/>
        </w:numPr>
      </w:pPr>
      <w:r w:rsidRPr="00F87A2C">
        <w:lastRenderedPageBreak/>
        <w:t>Repeated missed appointments (DNA) may lead to the RTT clock being stopped and/or discharge back to GP care.</w:t>
      </w:r>
    </w:p>
    <w:p w14:paraId="43715926" w14:textId="77777777" w:rsidR="00F87A2C" w:rsidRPr="00F87A2C" w:rsidRDefault="00F87A2C" w:rsidP="00F87A2C">
      <w:pPr>
        <w:pStyle w:val="Heading1"/>
        <w:rPr>
          <w:sz w:val="36"/>
          <w:szCs w:val="36"/>
        </w:rPr>
      </w:pPr>
      <w:r w:rsidRPr="00F87A2C">
        <w:rPr>
          <w:sz w:val="36"/>
          <w:szCs w:val="36"/>
        </w:rPr>
        <w:t>Communication</w:t>
      </w:r>
    </w:p>
    <w:p w14:paraId="46C745C7" w14:textId="77777777" w:rsidR="00F87A2C" w:rsidRDefault="00F87A2C" w:rsidP="00F87A2C">
      <w:r w:rsidRPr="00F87A2C">
        <w:t>All communications, whether verbal or written, must be clear, concise, and informative.</w:t>
      </w:r>
    </w:p>
    <w:p w14:paraId="661C957A" w14:textId="77777777" w:rsidR="00F87A2C" w:rsidRDefault="00F87A2C" w:rsidP="00F87A2C">
      <w:pPr>
        <w:pStyle w:val="ListParagraph"/>
        <w:numPr>
          <w:ilvl w:val="0"/>
          <w:numId w:val="21"/>
        </w:numPr>
      </w:pPr>
      <w:r w:rsidRPr="00F87A2C">
        <w:t>Written correspondence and verbal communication summaries must be documented in the patient’s electronic record.</w:t>
      </w:r>
    </w:p>
    <w:p w14:paraId="20EB5D28" w14:textId="77777777" w:rsidR="00F87A2C" w:rsidRDefault="00F87A2C" w:rsidP="00F87A2C">
      <w:pPr>
        <w:pStyle w:val="ListParagraph"/>
        <w:numPr>
          <w:ilvl w:val="0"/>
          <w:numId w:val="21"/>
        </w:numPr>
      </w:pPr>
      <w:r w:rsidRPr="00F87A2C">
        <w:t>GPs or relevant referrers will be updated on patient progress in writing. Transfer of clinical responsibility (e.g., after completed treatment) must be clearly communicated.</w:t>
      </w:r>
    </w:p>
    <w:p w14:paraId="3C37AF90" w14:textId="77777777" w:rsidR="00F87A2C" w:rsidRPr="00F87A2C" w:rsidRDefault="00F87A2C" w:rsidP="00F87A2C">
      <w:pPr>
        <w:pStyle w:val="Heading1"/>
        <w:rPr>
          <w:sz w:val="36"/>
          <w:szCs w:val="36"/>
        </w:rPr>
      </w:pPr>
      <w:r w:rsidRPr="00F87A2C">
        <w:rPr>
          <w:sz w:val="36"/>
          <w:szCs w:val="36"/>
        </w:rPr>
        <w:t>Improving Access for Patients</w:t>
      </w:r>
    </w:p>
    <w:p w14:paraId="65C40B3D" w14:textId="77777777" w:rsidR="00F87A2C" w:rsidRDefault="00F87A2C" w:rsidP="00F87A2C">
      <w:r w:rsidRPr="00F87A2C">
        <w:t>The Service welcomes feedback regarding its accessibility and operations.</w:t>
      </w:r>
    </w:p>
    <w:p w14:paraId="4024CBC3" w14:textId="13B36F5D" w:rsidR="00420F6F" w:rsidRPr="00F87A2C" w:rsidRDefault="00F87A2C" w:rsidP="00F87A2C">
      <w:r w:rsidRPr="00F87A2C">
        <w:t>Please contact the Business Manager at 15 Christie Way, Manchester, M21 7QY, or submit feedback via the website.</w:t>
      </w:r>
    </w:p>
    <w:p w14:paraId="0AD280E2" w14:textId="77777777" w:rsidR="005D20EC" w:rsidRPr="005D20EC" w:rsidRDefault="005D20EC">
      <w:pPr>
        <w:rPr>
          <w:rFonts w:ascii="Calibri" w:hAnsi="Calibri" w:cs="Calibri"/>
          <w:sz w:val="24"/>
          <w:szCs w:val="24"/>
        </w:rPr>
      </w:pPr>
    </w:p>
    <w:sectPr w:rsidR="005D20EC" w:rsidRPr="005D20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856" w14:textId="77777777" w:rsidR="00296B4D" w:rsidRDefault="00296B4D" w:rsidP="000D0222">
      <w:pPr>
        <w:spacing w:after="0" w:line="240" w:lineRule="auto"/>
      </w:pPr>
      <w:r>
        <w:separator/>
      </w:r>
    </w:p>
  </w:endnote>
  <w:endnote w:type="continuationSeparator" w:id="0">
    <w:p w14:paraId="5E79A4F5" w14:textId="77777777" w:rsidR="00296B4D" w:rsidRDefault="00296B4D" w:rsidP="000D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4BACC6"/>
        <w:left w:val="single" w:sz="8" w:space="0" w:color="4BACC6"/>
        <w:bottom w:val="single" w:sz="8" w:space="0" w:color="4BACC6"/>
        <w:right w:val="single" w:sz="8" w:space="0" w:color="4BACC6"/>
        <w:insideH w:val="single" w:sz="8" w:space="0" w:color="4BACC6"/>
      </w:tblBorders>
      <w:tblLook w:val="04A0" w:firstRow="1" w:lastRow="0" w:firstColumn="1" w:lastColumn="0" w:noHBand="0" w:noVBand="1"/>
    </w:tblPr>
    <w:tblGrid>
      <w:gridCol w:w="1296"/>
      <w:gridCol w:w="1486"/>
      <w:gridCol w:w="1556"/>
      <w:gridCol w:w="2107"/>
      <w:gridCol w:w="2561"/>
    </w:tblGrid>
    <w:tr w:rsidR="000D0222" w:rsidRPr="000D0222" w14:paraId="5414514D" w14:textId="77777777" w:rsidTr="00A426A8">
      <w:tc>
        <w:tcPr>
          <w:tcW w:w="719" w:type="pct"/>
          <w:tcBorders>
            <w:top w:val="single" w:sz="8" w:space="0" w:color="4BACC6"/>
            <w:left w:val="single" w:sz="8" w:space="0" w:color="4BACC6"/>
            <w:bottom w:val="single" w:sz="8" w:space="0" w:color="4BACC6"/>
            <w:right w:val="nil"/>
          </w:tcBorders>
          <w:shd w:val="clear" w:color="auto" w:fill="BFBFBF"/>
          <w:hideMark/>
        </w:tcPr>
        <w:p w14:paraId="146CD546"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Version</w:t>
          </w:r>
        </w:p>
      </w:tc>
      <w:tc>
        <w:tcPr>
          <w:tcW w:w="825" w:type="pct"/>
          <w:tcBorders>
            <w:top w:val="single" w:sz="8" w:space="0" w:color="4BACC6"/>
            <w:left w:val="nil"/>
            <w:bottom w:val="single" w:sz="8" w:space="0" w:color="4BACC6"/>
            <w:right w:val="nil"/>
          </w:tcBorders>
          <w:shd w:val="clear" w:color="auto" w:fill="BFBFBF"/>
          <w:hideMark/>
        </w:tcPr>
        <w:p w14:paraId="2E3E97E7"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Date Published </w:t>
          </w:r>
        </w:p>
      </w:tc>
      <w:tc>
        <w:tcPr>
          <w:tcW w:w="864" w:type="pct"/>
          <w:tcBorders>
            <w:top w:val="single" w:sz="8" w:space="0" w:color="4BACC6"/>
            <w:left w:val="nil"/>
            <w:bottom w:val="single" w:sz="8" w:space="0" w:color="4BACC6"/>
            <w:right w:val="nil"/>
          </w:tcBorders>
          <w:shd w:val="clear" w:color="auto" w:fill="BFBFBF"/>
          <w:hideMark/>
        </w:tcPr>
        <w:p w14:paraId="3256389C"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Review Status </w:t>
          </w:r>
        </w:p>
      </w:tc>
      <w:tc>
        <w:tcPr>
          <w:tcW w:w="1170" w:type="pct"/>
          <w:tcBorders>
            <w:top w:val="single" w:sz="8" w:space="0" w:color="4BACC6"/>
            <w:left w:val="nil"/>
            <w:bottom w:val="single" w:sz="8" w:space="0" w:color="4BACC6"/>
            <w:right w:val="nil"/>
          </w:tcBorders>
          <w:shd w:val="clear" w:color="auto" w:fill="BFBFBF"/>
          <w:hideMark/>
        </w:tcPr>
        <w:p w14:paraId="30C67B49"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Review Due</w:t>
          </w:r>
        </w:p>
      </w:tc>
      <w:tc>
        <w:tcPr>
          <w:tcW w:w="1423" w:type="pct"/>
          <w:vMerge w:val="restart"/>
          <w:tcBorders>
            <w:top w:val="single" w:sz="8" w:space="0" w:color="4BACC6"/>
            <w:left w:val="nil"/>
            <w:bottom w:val="single" w:sz="8" w:space="0" w:color="4BACC6"/>
            <w:right w:val="single" w:sz="8" w:space="0" w:color="4BACC6"/>
          </w:tcBorders>
          <w:shd w:val="clear" w:color="auto" w:fill="BFBFBF"/>
        </w:tcPr>
        <w:p w14:paraId="4974655A" w14:textId="77777777" w:rsidR="000D0222" w:rsidRPr="000D0222" w:rsidRDefault="000D0222" w:rsidP="000D0222">
          <w:pPr>
            <w:spacing w:after="0" w:line="240" w:lineRule="auto"/>
            <w:jc w:val="center"/>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 </w:t>
          </w:r>
        </w:p>
        <w:p w14:paraId="116112A0" w14:textId="51B0ADFD" w:rsidR="000D0222" w:rsidRPr="000D0222" w:rsidRDefault="000D0222" w:rsidP="000D0222">
          <w:pPr>
            <w:spacing w:after="0" w:line="240" w:lineRule="auto"/>
            <w:jc w:val="right"/>
            <w:rPr>
              <w:rFonts w:ascii="Calibri" w:eastAsia="Calibri" w:hAnsi="Calibri" w:cs="Times New Roman"/>
              <w:b/>
              <w:bCs/>
              <w:color w:val="FFFFFF"/>
              <w:sz w:val="18"/>
              <w:szCs w:val="18"/>
              <w:lang w:eastAsia="en-GB"/>
            </w:rPr>
          </w:pPr>
          <w:r>
            <w:rPr>
              <w:rFonts w:ascii="Calibri" w:eastAsia="Calibri" w:hAnsi="Calibri" w:cs="Times New Roman"/>
              <w:b/>
              <w:bCs/>
              <w:color w:val="FFFFFF"/>
              <w:sz w:val="18"/>
              <w:szCs w:val="18"/>
              <w:lang w:eastAsia="en-GB"/>
            </w:rPr>
            <w:t>Local Access</w:t>
          </w:r>
          <w:r w:rsidRPr="000D0222">
            <w:rPr>
              <w:rFonts w:ascii="Calibri" w:eastAsia="Calibri" w:hAnsi="Calibri" w:cs="Times New Roman"/>
              <w:b/>
              <w:bCs/>
              <w:color w:val="FFFFFF"/>
              <w:sz w:val="18"/>
              <w:szCs w:val="18"/>
              <w:lang w:eastAsia="en-GB"/>
            </w:rPr>
            <w:t xml:space="preserve"> P</w:t>
          </w:r>
          <w:r>
            <w:rPr>
              <w:rFonts w:ascii="Calibri" w:eastAsia="Calibri" w:hAnsi="Calibri" w:cs="Times New Roman"/>
              <w:b/>
              <w:bCs/>
              <w:color w:val="FFFFFF"/>
              <w:sz w:val="18"/>
              <w:szCs w:val="18"/>
              <w:lang w:eastAsia="en-GB"/>
            </w:rPr>
            <w:t>olicy</w:t>
          </w:r>
        </w:p>
      </w:tc>
    </w:tr>
    <w:tr w:rsidR="000D0222" w:rsidRPr="000D0222" w14:paraId="52C90B56" w14:textId="77777777" w:rsidTr="00A426A8">
      <w:tc>
        <w:tcPr>
          <w:tcW w:w="719" w:type="pct"/>
          <w:tcBorders>
            <w:top w:val="single" w:sz="8" w:space="0" w:color="4BACC6"/>
            <w:left w:val="single" w:sz="8" w:space="0" w:color="4BACC6"/>
            <w:bottom w:val="single" w:sz="8" w:space="0" w:color="4BACC6"/>
            <w:right w:val="nil"/>
          </w:tcBorders>
          <w:hideMark/>
        </w:tcPr>
        <w:p w14:paraId="2A7FD443" w14:textId="227410AC" w:rsidR="000D0222" w:rsidRPr="000D0222" w:rsidRDefault="00F87A2C" w:rsidP="000D0222">
          <w:pPr>
            <w:spacing w:after="0" w:line="240" w:lineRule="auto"/>
            <w:jc w:val="both"/>
            <w:rPr>
              <w:rFonts w:ascii="Calibri" w:eastAsia="Calibri" w:hAnsi="Calibri" w:cs="Times New Roman"/>
              <w:b/>
              <w:bCs/>
              <w:sz w:val="18"/>
              <w:szCs w:val="18"/>
              <w:lang w:eastAsia="en-GB"/>
            </w:rPr>
          </w:pPr>
          <w:r>
            <w:rPr>
              <w:rFonts w:ascii="Calibri" w:eastAsia="Calibri" w:hAnsi="Calibri" w:cs="Times New Roman"/>
              <w:b/>
              <w:bCs/>
              <w:sz w:val="18"/>
              <w:szCs w:val="18"/>
              <w:lang w:eastAsia="en-GB"/>
            </w:rPr>
            <w:t>2</w:t>
          </w:r>
        </w:p>
      </w:tc>
      <w:tc>
        <w:tcPr>
          <w:tcW w:w="825" w:type="pct"/>
          <w:tcBorders>
            <w:top w:val="single" w:sz="8" w:space="0" w:color="4BACC6"/>
            <w:left w:val="nil"/>
            <w:bottom w:val="single" w:sz="8" w:space="0" w:color="4BACC6"/>
            <w:right w:val="nil"/>
          </w:tcBorders>
          <w:hideMark/>
        </w:tcPr>
        <w:p w14:paraId="04FEC74A" w14:textId="61E80C97" w:rsidR="000D0222" w:rsidRPr="000D0222" w:rsidRDefault="000D0222" w:rsidP="000D0222">
          <w:pPr>
            <w:spacing w:after="0" w:line="240" w:lineRule="auto"/>
            <w:jc w:val="both"/>
            <w:rPr>
              <w:rFonts w:ascii="Calibri" w:eastAsia="Calibri" w:hAnsi="Calibri" w:cs="Times New Roman"/>
              <w:sz w:val="18"/>
              <w:szCs w:val="18"/>
              <w:lang w:eastAsia="en-GB"/>
            </w:rPr>
          </w:pPr>
          <w:r>
            <w:rPr>
              <w:rFonts w:ascii="Calibri" w:eastAsia="Calibri" w:hAnsi="Calibri" w:cs="Times New Roman"/>
              <w:sz w:val="18"/>
              <w:szCs w:val="18"/>
              <w:lang w:eastAsia="en-GB"/>
            </w:rPr>
            <w:t>July</w:t>
          </w:r>
          <w:r w:rsidRPr="000D0222">
            <w:rPr>
              <w:rFonts w:ascii="Calibri" w:eastAsia="Calibri" w:hAnsi="Calibri" w:cs="Times New Roman"/>
              <w:sz w:val="18"/>
              <w:szCs w:val="18"/>
              <w:lang w:eastAsia="en-GB"/>
            </w:rPr>
            <w:t xml:space="preserve"> 2024</w:t>
          </w:r>
        </w:p>
      </w:tc>
      <w:tc>
        <w:tcPr>
          <w:tcW w:w="864" w:type="pct"/>
          <w:tcBorders>
            <w:top w:val="single" w:sz="8" w:space="0" w:color="4BACC6"/>
            <w:left w:val="nil"/>
            <w:bottom w:val="single" w:sz="8" w:space="0" w:color="4BACC6"/>
            <w:right w:val="nil"/>
          </w:tcBorders>
          <w:hideMark/>
        </w:tcPr>
        <w:p w14:paraId="3D301728" w14:textId="2EB034C4" w:rsidR="000D0222" w:rsidRPr="000D0222" w:rsidRDefault="00F87A2C" w:rsidP="000D0222">
          <w:pPr>
            <w:spacing w:after="0" w:line="240" w:lineRule="auto"/>
            <w:rPr>
              <w:rFonts w:ascii="Calibri" w:eastAsia="Times New Roman" w:hAnsi="Calibri" w:cs="Times New Roman"/>
              <w:sz w:val="18"/>
              <w:szCs w:val="20"/>
              <w:lang w:eastAsia="en-GB"/>
            </w:rPr>
          </w:pPr>
          <w:r>
            <w:rPr>
              <w:rFonts w:ascii="Calibri" w:eastAsia="Times New Roman" w:hAnsi="Calibri" w:cs="Times New Roman"/>
              <w:sz w:val="18"/>
              <w:szCs w:val="20"/>
              <w:lang w:eastAsia="en-GB"/>
            </w:rPr>
            <w:t>Reviewed Jun 25</w:t>
          </w:r>
        </w:p>
      </w:tc>
      <w:tc>
        <w:tcPr>
          <w:tcW w:w="1170" w:type="pct"/>
          <w:tcBorders>
            <w:top w:val="single" w:sz="8" w:space="0" w:color="4BACC6"/>
            <w:left w:val="nil"/>
            <w:bottom w:val="single" w:sz="8" w:space="0" w:color="4BACC6"/>
            <w:right w:val="nil"/>
          </w:tcBorders>
          <w:hideMark/>
        </w:tcPr>
        <w:p w14:paraId="78F538FD" w14:textId="207ABB90" w:rsidR="00F87A2C" w:rsidRPr="00F87A2C" w:rsidRDefault="000D0222" w:rsidP="000D0222">
          <w:pPr>
            <w:spacing w:after="0" w:line="240" w:lineRule="auto"/>
            <w:jc w:val="both"/>
            <w:rPr>
              <w:rFonts w:ascii="Calibri" w:eastAsia="Calibri" w:hAnsi="Calibri" w:cs="Times New Roman"/>
              <w:bCs/>
              <w:sz w:val="18"/>
              <w:szCs w:val="18"/>
              <w:lang w:eastAsia="en-GB"/>
            </w:rPr>
          </w:pPr>
          <w:r>
            <w:rPr>
              <w:rFonts w:ascii="Calibri" w:eastAsia="Calibri" w:hAnsi="Calibri" w:cs="Times New Roman"/>
              <w:bCs/>
              <w:sz w:val="18"/>
              <w:szCs w:val="18"/>
              <w:lang w:eastAsia="en-GB"/>
            </w:rPr>
            <w:t>J</w:t>
          </w:r>
          <w:r w:rsidR="00F87A2C">
            <w:rPr>
              <w:rFonts w:ascii="Calibri" w:eastAsia="Calibri" w:hAnsi="Calibri" w:cs="Times New Roman"/>
              <w:bCs/>
              <w:sz w:val="18"/>
              <w:szCs w:val="18"/>
              <w:lang w:eastAsia="en-GB"/>
            </w:rPr>
            <w:t>uly 2026</w:t>
          </w:r>
        </w:p>
      </w:tc>
      <w:tc>
        <w:tcPr>
          <w:tcW w:w="1423" w:type="pct"/>
          <w:vMerge/>
          <w:tcBorders>
            <w:top w:val="single" w:sz="8" w:space="0" w:color="4BACC6"/>
            <w:left w:val="nil"/>
            <w:bottom w:val="single" w:sz="8" w:space="0" w:color="4BACC6"/>
            <w:right w:val="single" w:sz="8" w:space="0" w:color="4BACC6"/>
          </w:tcBorders>
          <w:vAlign w:val="center"/>
          <w:hideMark/>
        </w:tcPr>
        <w:p w14:paraId="72982B7B" w14:textId="77777777" w:rsidR="000D0222" w:rsidRPr="000D0222" w:rsidRDefault="000D0222" w:rsidP="000D0222">
          <w:pPr>
            <w:spacing w:after="0" w:line="240" w:lineRule="auto"/>
            <w:rPr>
              <w:rFonts w:ascii="Calibri" w:eastAsia="Calibri" w:hAnsi="Calibri" w:cs="Times New Roman"/>
              <w:b/>
              <w:bCs/>
              <w:color w:val="FFFFFF"/>
              <w:sz w:val="18"/>
              <w:szCs w:val="18"/>
              <w:lang w:eastAsia="en-GB"/>
            </w:rPr>
          </w:pPr>
        </w:p>
      </w:tc>
    </w:tr>
  </w:tbl>
  <w:p w14:paraId="54A8239C" w14:textId="77777777" w:rsidR="000D0222" w:rsidRDefault="000D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CF9B" w14:textId="77777777" w:rsidR="00296B4D" w:rsidRDefault="00296B4D" w:rsidP="000D0222">
      <w:pPr>
        <w:spacing w:after="0" w:line="240" w:lineRule="auto"/>
      </w:pPr>
      <w:r>
        <w:separator/>
      </w:r>
    </w:p>
  </w:footnote>
  <w:footnote w:type="continuationSeparator" w:id="0">
    <w:p w14:paraId="6BC2C8C9" w14:textId="77777777" w:rsidR="00296B4D" w:rsidRDefault="00296B4D" w:rsidP="000D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ECA4" w14:textId="5B228B7D" w:rsidR="000D0222" w:rsidRDefault="000D0222">
    <w:pPr>
      <w:pStyle w:val="Header"/>
    </w:pPr>
    <w:r>
      <w:rPr>
        <w:noProof/>
      </w:rPr>
      <w:drawing>
        <wp:anchor distT="0" distB="0" distL="114300" distR="114300" simplePos="0" relativeHeight="251658240" behindDoc="0" locked="0" layoutInCell="1" allowOverlap="1" wp14:anchorId="302260B8" wp14:editId="0548753B">
          <wp:simplePos x="0" y="0"/>
          <wp:positionH relativeFrom="column">
            <wp:posOffset>-492125</wp:posOffset>
          </wp:positionH>
          <wp:positionV relativeFrom="paragraph">
            <wp:posOffset>-290830</wp:posOffset>
          </wp:positionV>
          <wp:extent cx="2109470" cy="565150"/>
          <wp:effectExtent l="0" t="0" r="5080" b="6350"/>
          <wp:wrapNone/>
          <wp:docPr id="80033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E0B"/>
    <w:multiLevelType w:val="hybridMultilevel"/>
    <w:tmpl w:val="5038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DDB"/>
    <w:multiLevelType w:val="hybridMultilevel"/>
    <w:tmpl w:val="DD4E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462B"/>
    <w:multiLevelType w:val="hybridMultilevel"/>
    <w:tmpl w:val="212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B2C3D"/>
    <w:multiLevelType w:val="hybridMultilevel"/>
    <w:tmpl w:val="96F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A75E6"/>
    <w:multiLevelType w:val="hybridMultilevel"/>
    <w:tmpl w:val="99CA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A098E"/>
    <w:multiLevelType w:val="hybridMultilevel"/>
    <w:tmpl w:val="89DA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133D7"/>
    <w:multiLevelType w:val="hybridMultilevel"/>
    <w:tmpl w:val="EF3A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755"/>
    <w:multiLevelType w:val="hybridMultilevel"/>
    <w:tmpl w:val="9462E9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604495"/>
    <w:multiLevelType w:val="hybridMultilevel"/>
    <w:tmpl w:val="9292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621F1"/>
    <w:multiLevelType w:val="hybridMultilevel"/>
    <w:tmpl w:val="02943D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9F0922"/>
    <w:multiLevelType w:val="hybridMultilevel"/>
    <w:tmpl w:val="F1A4C8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684308"/>
    <w:multiLevelType w:val="hybridMultilevel"/>
    <w:tmpl w:val="961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44AC6"/>
    <w:multiLevelType w:val="hybridMultilevel"/>
    <w:tmpl w:val="A3EC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33C6F"/>
    <w:multiLevelType w:val="hybridMultilevel"/>
    <w:tmpl w:val="799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C757C"/>
    <w:multiLevelType w:val="hybridMultilevel"/>
    <w:tmpl w:val="D8BA07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E07C85"/>
    <w:multiLevelType w:val="hybridMultilevel"/>
    <w:tmpl w:val="836C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E535F"/>
    <w:multiLevelType w:val="hybridMultilevel"/>
    <w:tmpl w:val="32D4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C7954"/>
    <w:multiLevelType w:val="hybridMultilevel"/>
    <w:tmpl w:val="E11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97CF3"/>
    <w:multiLevelType w:val="hybridMultilevel"/>
    <w:tmpl w:val="92D6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23559"/>
    <w:multiLevelType w:val="hybridMultilevel"/>
    <w:tmpl w:val="7BCA83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BD1328"/>
    <w:multiLevelType w:val="hybridMultilevel"/>
    <w:tmpl w:val="181A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869193">
    <w:abstractNumId w:val="18"/>
  </w:num>
  <w:num w:numId="2" w16cid:durableId="2080859486">
    <w:abstractNumId w:val="2"/>
  </w:num>
  <w:num w:numId="3" w16cid:durableId="780417839">
    <w:abstractNumId w:val="11"/>
  </w:num>
  <w:num w:numId="4" w16cid:durableId="528875992">
    <w:abstractNumId w:val="16"/>
  </w:num>
  <w:num w:numId="5" w16cid:durableId="164441964">
    <w:abstractNumId w:val="20"/>
  </w:num>
  <w:num w:numId="6" w16cid:durableId="265309966">
    <w:abstractNumId w:val="4"/>
  </w:num>
  <w:num w:numId="7" w16cid:durableId="1178739582">
    <w:abstractNumId w:val="12"/>
  </w:num>
  <w:num w:numId="8" w16cid:durableId="449469198">
    <w:abstractNumId w:val="1"/>
  </w:num>
  <w:num w:numId="9" w16cid:durableId="1760759439">
    <w:abstractNumId w:val="6"/>
  </w:num>
  <w:num w:numId="10" w16cid:durableId="898712226">
    <w:abstractNumId w:val="3"/>
  </w:num>
  <w:num w:numId="11" w16cid:durableId="2032949823">
    <w:abstractNumId w:val="15"/>
  </w:num>
  <w:num w:numId="12" w16cid:durableId="827406145">
    <w:abstractNumId w:val="0"/>
  </w:num>
  <w:num w:numId="13" w16cid:durableId="1654487736">
    <w:abstractNumId w:val="8"/>
  </w:num>
  <w:num w:numId="14" w16cid:durableId="325668656">
    <w:abstractNumId w:val="5"/>
  </w:num>
  <w:num w:numId="15" w16cid:durableId="2013334627">
    <w:abstractNumId w:val="17"/>
  </w:num>
  <w:num w:numId="16" w16cid:durableId="470558427">
    <w:abstractNumId w:val="13"/>
  </w:num>
  <w:num w:numId="17" w16cid:durableId="118912776">
    <w:abstractNumId w:val="7"/>
  </w:num>
  <w:num w:numId="18" w16cid:durableId="1199124676">
    <w:abstractNumId w:val="9"/>
  </w:num>
  <w:num w:numId="19" w16cid:durableId="1651670417">
    <w:abstractNumId w:val="14"/>
  </w:num>
  <w:num w:numId="20" w16cid:durableId="1593658197">
    <w:abstractNumId w:val="19"/>
  </w:num>
  <w:num w:numId="21" w16cid:durableId="396244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EC"/>
    <w:rsid w:val="000D0222"/>
    <w:rsid w:val="00296B4D"/>
    <w:rsid w:val="00316433"/>
    <w:rsid w:val="00316539"/>
    <w:rsid w:val="00420F6F"/>
    <w:rsid w:val="005D20EC"/>
    <w:rsid w:val="00624B7B"/>
    <w:rsid w:val="006321FD"/>
    <w:rsid w:val="006D7CB5"/>
    <w:rsid w:val="007C480A"/>
    <w:rsid w:val="008315E5"/>
    <w:rsid w:val="009A63F9"/>
    <w:rsid w:val="00A4709D"/>
    <w:rsid w:val="00B759DE"/>
    <w:rsid w:val="00CE5CDB"/>
    <w:rsid w:val="00F8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C048"/>
  <w15:chartTrackingRefBased/>
  <w15:docId w15:val="{488E6053-66A4-470D-B4EE-4C1328B5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EC"/>
    <w:rPr>
      <w:rFonts w:eastAsiaTheme="majorEastAsia" w:cstheme="majorBidi"/>
      <w:color w:val="272727" w:themeColor="text1" w:themeTint="D8"/>
    </w:rPr>
  </w:style>
  <w:style w:type="paragraph" w:styleId="Title">
    <w:name w:val="Title"/>
    <w:basedOn w:val="Normal"/>
    <w:next w:val="Normal"/>
    <w:link w:val="TitleChar"/>
    <w:uiPriority w:val="10"/>
    <w:qFormat/>
    <w:rsid w:val="005D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EC"/>
    <w:pPr>
      <w:spacing w:before="160"/>
      <w:jc w:val="center"/>
    </w:pPr>
    <w:rPr>
      <w:i/>
      <w:iCs/>
      <w:color w:val="404040" w:themeColor="text1" w:themeTint="BF"/>
    </w:rPr>
  </w:style>
  <w:style w:type="character" w:customStyle="1" w:styleId="QuoteChar">
    <w:name w:val="Quote Char"/>
    <w:basedOn w:val="DefaultParagraphFont"/>
    <w:link w:val="Quote"/>
    <w:uiPriority w:val="29"/>
    <w:rsid w:val="005D20EC"/>
    <w:rPr>
      <w:i/>
      <w:iCs/>
      <w:color w:val="404040" w:themeColor="text1" w:themeTint="BF"/>
    </w:rPr>
  </w:style>
  <w:style w:type="paragraph" w:styleId="ListParagraph">
    <w:name w:val="List Paragraph"/>
    <w:basedOn w:val="Normal"/>
    <w:uiPriority w:val="34"/>
    <w:qFormat/>
    <w:rsid w:val="005D20EC"/>
    <w:pPr>
      <w:ind w:left="720"/>
      <w:contextualSpacing/>
    </w:pPr>
  </w:style>
  <w:style w:type="character" w:styleId="IntenseEmphasis">
    <w:name w:val="Intense Emphasis"/>
    <w:basedOn w:val="DefaultParagraphFont"/>
    <w:uiPriority w:val="21"/>
    <w:qFormat/>
    <w:rsid w:val="005D20EC"/>
    <w:rPr>
      <w:i/>
      <w:iCs/>
      <w:color w:val="0F4761" w:themeColor="accent1" w:themeShade="BF"/>
    </w:rPr>
  </w:style>
  <w:style w:type="paragraph" w:styleId="IntenseQuote">
    <w:name w:val="Intense Quote"/>
    <w:basedOn w:val="Normal"/>
    <w:next w:val="Normal"/>
    <w:link w:val="IntenseQuoteChar"/>
    <w:uiPriority w:val="30"/>
    <w:qFormat/>
    <w:rsid w:val="005D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EC"/>
    <w:rPr>
      <w:i/>
      <w:iCs/>
      <w:color w:val="0F4761" w:themeColor="accent1" w:themeShade="BF"/>
    </w:rPr>
  </w:style>
  <w:style w:type="character" w:styleId="IntenseReference">
    <w:name w:val="Intense Reference"/>
    <w:basedOn w:val="DefaultParagraphFont"/>
    <w:uiPriority w:val="32"/>
    <w:qFormat/>
    <w:rsid w:val="005D20EC"/>
    <w:rPr>
      <w:b/>
      <w:bCs/>
      <w:smallCaps/>
      <w:color w:val="0F4761" w:themeColor="accent1" w:themeShade="BF"/>
      <w:spacing w:val="5"/>
    </w:rPr>
  </w:style>
  <w:style w:type="character" w:styleId="Hyperlink">
    <w:name w:val="Hyperlink"/>
    <w:basedOn w:val="DefaultParagraphFont"/>
    <w:uiPriority w:val="99"/>
    <w:unhideWhenUsed/>
    <w:rsid w:val="005D20EC"/>
    <w:rPr>
      <w:color w:val="467886" w:themeColor="hyperlink"/>
      <w:u w:val="single"/>
    </w:rPr>
  </w:style>
  <w:style w:type="character" w:styleId="UnresolvedMention">
    <w:name w:val="Unresolved Mention"/>
    <w:basedOn w:val="DefaultParagraphFont"/>
    <w:uiPriority w:val="99"/>
    <w:semiHidden/>
    <w:unhideWhenUsed/>
    <w:rsid w:val="005D20EC"/>
    <w:rPr>
      <w:color w:val="605E5C"/>
      <w:shd w:val="clear" w:color="auto" w:fill="E1DFDD"/>
    </w:rPr>
  </w:style>
  <w:style w:type="paragraph" w:styleId="Header">
    <w:name w:val="header"/>
    <w:basedOn w:val="Normal"/>
    <w:link w:val="HeaderChar"/>
    <w:uiPriority w:val="99"/>
    <w:unhideWhenUsed/>
    <w:rsid w:val="000D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222"/>
  </w:style>
  <w:style w:type="paragraph" w:styleId="Footer">
    <w:name w:val="footer"/>
    <w:basedOn w:val="Normal"/>
    <w:link w:val="FooterChar"/>
    <w:uiPriority w:val="99"/>
    <w:unhideWhenUsed/>
    <w:rsid w:val="000D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222"/>
  </w:style>
  <w:style w:type="table" w:styleId="TableGrid">
    <w:name w:val="Table Grid"/>
    <w:basedOn w:val="TableNormal"/>
    <w:uiPriority w:val="39"/>
    <w:rsid w:val="00F8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7A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EAMES, Helen (BURSCOUGH FAMILY PRACTICE)</dc:creator>
  <cp:keywords/>
  <dc:description/>
  <cp:lastModifiedBy>Heart Networks</cp:lastModifiedBy>
  <cp:revision>2</cp:revision>
  <cp:lastPrinted>2024-07-29T13:26:00Z</cp:lastPrinted>
  <dcterms:created xsi:type="dcterms:W3CDTF">2025-06-13T08:39:00Z</dcterms:created>
  <dcterms:modified xsi:type="dcterms:W3CDTF">2025-06-13T08:39:00Z</dcterms:modified>
</cp:coreProperties>
</file>