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9232" w14:textId="1E155F5A" w:rsidR="005B29DC" w:rsidRPr="005B29DC" w:rsidRDefault="00BE46B6" w:rsidP="005B29DC">
      <w:pPr>
        <w:rPr>
          <w:rFonts w:asciiTheme="majorHAnsi" w:hAnsiTheme="majorHAnsi"/>
          <w:b/>
          <w:bCs/>
          <w:sz w:val="20"/>
          <w:szCs w:val="20"/>
          <w:u w:val="single"/>
        </w:rPr>
      </w:pPr>
      <w:r w:rsidRPr="005B29DC">
        <w:rPr>
          <w:rFonts w:asciiTheme="majorHAnsi" w:hAnsiTheme="majorHAnsi"/>
          <w:b/>
          <w:bCs/>
          <w:u w:val="single"/>
        </w:rPr>
        <w:t>Patient Safety Incident Response Policy</w:t>
      </w:r>
      <w:r w:rsidRPr="005B29DC">
        <w:rPr>
          <w:rFonts w:asciiTheme="majorHAnsi" w:hAnsiTheme="majorHAnsi"/>
          <w:b/>
          <w:bCs/>
          <w:u w:val="single"/>
        </w:rPr>
        <w:br/>
      </w:r>
      <w:r w:rsidRPr="005B29DC">
        <w:rPr>
          <w:rFonts w:asciiTheme="majorHAnsi" w:hAnsiTheme="majorHAnsi"/>
          <w:b/>
          <w:bCs/>
          <w:sz w:val="20"/>
          <w:szCs w:val="20"/>
          <w:u w:val="single"/>
        </w:rPr>
        <w:t>Version 2</w:t>
      </w:r>
      <w:r w:rsidRPr="005B29DC">
        <w:rPr>
          <w:rFonts w:asciiTheme="majorHAnsi" w:hAnsiTheme="majorHAnsi"/>
          <w:b/>
          <w:bCs/>
          <w:sz w:val="20"/>
          <w:szCs w:val="20"/>
          <w:u w:val="single"/>
        </w:rPr>
        <w:br/>
        <w:t>January 2026</w:t>
      </w:r>
      <w:r w:rsidR="005B29DC">
        <w:rPr>
          <w:rFonts w:asciiTheme="majorHAnsi" w:hAnsiTheme="majorHAnsi"/>
          <w:b/>
          <w:bCs/>
          <w:sz w:val="20"/>
          <w:szCs w:val="20"/>
          <w:u w:val="single"/>
        </w:rPr>
        <w:br/>
      </w:r>
      <w:r w:rsidRPr="005B29DC">
        <w:rPr>
          <w:rFonts w:asciiTheme="majorHAnsi" w:hAnsiTheme="majorHAnsi"/>
        </w:rPr>
        <w:br/>
      </w:r>
      <w:r w:rsidR="005B29DC" w:rsidRPr="005B29DC">
        <w:rPr>
          <w:rFonts w:asciiTheme="majorHAnsi" w:hAnsiTheme="majorHAnsi"/>
          <w:b/>
          <w:bCs/>
        </w:rPr>
        <w:t>1. Purpose</w:t>
      </w:r>
    </w:p>
    <w:p w14:paraId="5E987E79" w14:textId="014B116B" w:rsidR="005B29DC" w:rsidRPr="005B29DC" w:rsidRDefault="005B29DC" w:rsidP="005B29DC">
      <w:pPr>
        <w:pStyle w:val="NormalWeb"/>
        <w:jc w:val="both"/>
        <w:rPr>
          <w:rFonts w:asciiTheme="majorHAnsi" w:hAnsiTheme="majorHAnsi"/>
        </w:rPr>
      </w:pPr>
      <w:r w:rsidRPr="005B29DC">
        <w:rPr>
          <w:rFonts w:asciiTheme="majorHAnsi" w:hAnsiTheme="majorHAnsi"/>
        </w:rPr>
        <w:t>This policy sets out Heart Networks UK</w:t>
      </w:r>
      <w:r>
        <w:rPr>
          <w:rFonts w:asciiTheme="majorHAnsi" w:hAnsiTheme="majorHAnsi"/>
        </w:rPr>
        <w:t xml:space="preserve">’s </w:t>
      </w:r>
      <w:r w:rsidRPr="005B29DC">
        <w:rPr>
          <w:rFonts w:asciiTheme="majorHAnsi" w:hAnsiTheme="majorHAnsi"/>
        </w:rPr>
        <w:t>approach to responding to patient safety incidents in line with the Patient Safety Incident Response Framework (PSIRF). Its purpose is to ensure that the organisation maintains effective systems for identifying, reporting, reviewing and learning from patient safety incidents, with the aim of improving the safety and quality of care for all patients.</w:t>
      </w:r>
    </w:p>
    <w:p w14:paraId="1B38E0E5" w14:textId="7E5595AE" w:rsidR="005B29DC" w:rsidRPr="005B29DC" w:rsidRDefault="005B29DC" w:rsidP="005B29DC">
      <w:pPr>
        <w:pStyle w:val="NormalWeb"/>
        <w:jc w:val="both"/>
        <w:rPr>
          <w:rFonts w:asciiTheme="majorHAnsi" w:hAnsiTheme="majorHAnsi"/>
        </w:rPr>
      </w:pPr>
      <w:r w:rsidRPr="005B29DC">
        <w:rPr>
          <w:rFonts w:asciiTheme="majorHAnsi" w:hAnsiTheme="majorHAnsi"/>
        </w:rPr>
        <w:t xml:space="preserve">A patient safety incident is any unintended or unexpected event that could have, or did, lead to harm for one or more </w:t>
      </w:r>
      <w:r w:rsidRPr="005B29DC">
        <w:rPr>
          <w:rFonts w:asciiTheme="majorHAnsi" w:hAnsiTheme="majorHAnsi"/>
        </w:rPr>
        <w:t>patient’s</w:t>
      </w:r>
      <w:r w:rsidRPr="005B29DC">
        <w:rPr>
          <w:rFonts w:asciiTheme="majorHAnsi" w:hAnsiTheme="majorHAnsi"/>
        </w:rPr>
        <w:t xml:space="preserve"> receiving healthcare. Incidents may result in no harm, low harm, moderate harm, severe harm or death. All staff are required to report any incident, adverse event or near miss they become aware of. The organisation recognises that most incidents arise from system weaknesses rather than individual failings, and therefore prioritises system learning and improvement over blame.</w:t>
      </w:r>
    </w:p>
    <w:p w14:paraId="51FD051D" w14:textId="77777777" w:rsidR="005B29DC" w:rsidRDefault="005B29DC" w:rsidP="005B29DC">
      <w:pPr>
        <w:pStyle w:val="NormalWeb"/>
        <w:jc w:val="both"/>
        <w:rPr>
          <w:rFonts w:asciiTheme="majorHAnsi" w:hAnsiTheme="majorHAnsi"/>
        </w:rPr>
      </w:pPr>
      <w:r w:rsidRPr="005B29DC">
        <w:rPr>
          <w:rFonts w:asciiTheme="majorHAnsi" w:hAnsiTheme="majorHAnsi"/>
        </w:rPr>
        <w:t xml:space="preserve">This policy supports the four aims of PSIRF: </w:t>
      </w:r>
    </w:p>
    <w:p w14:paraId="410D6DC3" w14:textId="7383D558" w:rsidR="005B29DC" w:rsidRDefault="005B29DC" w:rsidP="005B29DC">
      <w:pPr>
        <w:pStyle w:val="NormalWeb"/>
        <w:numPr>
          <w:ilvl w:val="0"/>
          <w:numId w:val="5"/>
        </w:numPr>
        <w:jc w:val="both"/>
        <w:rPr>
          <w:rFonts w:asciiTheme="majorHAnsi" w:hAnsiTheme="majorHAnsi"/>
        </w:rPr>
      </w:pPr>
      <w:r w:rsidRPr="005B29DC">
        <w:rPr>
          <w:rFonts w:asciiTheme="majorHAnsi" w:hAnsiTheme="majorHAnsi"/>
        </w:rPr>
        <w:t xml:space="preserve">compassionate engagement with those </w:t>
      </w:r>
      <w:r w:rsidRPr="005B29DC">
        <w:rPr>
          <w:rFonts w:asciiTheme="majorHAnsi" w:hAnsiTheme="majorHAnsi"/>
        </w:rPr>
        <w:t>affected</w:t>
      </w:r>
    </w:p>
    <w:p w14:paraId="061F5AE8" w14:textId="46AE2B6C" w:rsidR="005B29DC" w:rsidRDefault="005B29DC" w:rsidP="005B29DC">
      <w:pPr>
        <w:pStyle w:val="NormalWeb"/>
        <w:numPr>
          <w:ilvl w:val="0"/>
          <w:numId w:val="5"/>
        </w:numPr>
        <w:jc w:val="both"/>
        <w:rPr>
          <w:rFonts w:asciiTheme="majorHAnsi" w:hAnsiTheme="majorHAnsi"/>
        </w:rPr>
      </w:pPr>
      <w:r w:rsidRPr="005B29DC">
        <w:rPr>
          <w:rFonts w:asciiTheme="majorHAnsi" w:hAnsiTheme="majorHAnsi"/>
        </w:rPr>
        <w:t>the use of system</w:t>
      </w:r>
      <w:r w:rsidRPr="005B29DC">
        <w:rPr>
          <w:rFonts w:asciiTheme="majorHAnsi" w:hAnsiTheme="majorHAnsi"/>
        </w:rPr>
        <w:noBreakHyphen/>
        <w:t>based approaches to learning</w:t>
      </w:r>
    </w:p>
    <w:p w14:paraId="3D4358C6" w14:textId="6F7EBAE8" w:rsidR="005B29DC" w:rsidRDefault="005B29DC" w:rsidP="005B29DC">
      <w:pPr>
        <w:pStyle w:val="NormalWeb"/>
        <w:numPr>
          <w:ilvl w:val="0"/>
          <w:numId w:val="5"/>
        </w:numPr>
        <w:jc w:val="both"/>
        <w:rPr>
          <w:rFonts w:asciiTheme="majorHAnsi" w:hAnsiTheme="majorHAnsi"/>
        </w:rPr>
      </w:pPr>
      <w:r w:rsidRPr="005B29DC">
        <w:rPr>
          <w:rFonts w:asciiTheme="majorHAnsi" w:hAnsiTheme="majorHAnsi"/>
        </w:rPr>
        <w:t>proportionate and considered responses to incidents</w:t>
      </w:r>
    </w:p>
    <w:p w14:paraId="70186B1C" w14:textId="5BB17394" w:rsidR="005B29DC" w:rsidRPr="005B29DC" w:rsidRDefault="005B29DC" w:rsidP="005B29DC">
      <w:pPr>
        <w:pStyle w:val="NormalWeb"/>
        <w:numPr>
          <w:ilvl w:val="0"/>
          <w:numId w:val="5"/>
        </w:numPr>
        <w:jc w:val="both"/>
        <w:rPr>
          <w:rFonts w:asciiTheme="majorHAnsi" w:hAnsiTheme="majorHAnsi"/>
        </w:rPr>
      </w:pPr>
      <w:r w:rsidRPr="005B29DC">
        <w:rPr>
          <w:rFonts w:asciiTheme="majorHAnsi" w:hAnsiTheme="majorHAnsi"/>
        </w:rPr>
        <w:t>supportive oversight that strengthens organisational learning</w:t>
      </w:r>
    </w:p>
    <w:p w14:paraId="73D1FAAB"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2. Objectives</w:t>
      </w:r>
    </w:p>
    <w:p w14:paraId="6978ECF2" w14:textId="77777777" w:rsidR="005B29DC" w:rsidRDefault="005B29DC" w:rsidP="005B29DC">
      <w:pPr>
        <w:pStyle w:val="NormalWeb"/>
        <w:jc w:val="both"/>
        <w:rPr>
          <w:rFonts w:asciiTheme="majorHAnsi" w:hAnsiTheme="majorHAnsi"/>
        </w:rPr>
      </w:pPr>
      <w:r w:rsidRPr="005B29DC">
        <w:rPr>
          <w:rFonts w:asciiTheme="majorHAnsi" w:hAnsiTheme="majorHAnsi"/>
        </w:rPr>
        <w:t>The objectives of this policy are to promote an open, just and restorative culture in which staff</w:t>
      </w:r>
    </w:p>
    <w:p w14:paraId="120E0A6B" w14:textId="77777777" w:rsidR="005B29DC" w:rsidRDefault="005B29DC" w:rsidP="005B29DC">
      <w:pPr>
        <w:pStyle w:val="NormalWeb"/>
        <w:numPr>
          <w:ilvl w:val="0"/>
          <w:numId w:val="6"/>
        </w:numPr>
        <w:jc w:val="both"/>
        <w:rPr>
          <w:rFonts w:asciiTheme="majorHAnsi" w:hAnsiTheme="majorHAnsi"/>
        </w:rPr>
      </w:pPr>
      <w:r w:rsidRPr="005B29DC">
        <w:rPr>
          <w:rFonts w:asciiTheme="majorHAnsi" w:hAnsiTheme="majorHAnsi"/>
        </w:rPr>
        <w:t>feel safe to report incidents</w:t>
      </w:r>
    </w:p>
    <w:p w14:paraId="375DCBD0" w14:textId="2AFE99B7" w:rsidR="005B29DC" w:rsidRDefault="005B29DC" w:rsidP="005B29DC">
      <w:pPr>
        <w:pStyle w:val="NormalWeb"/>
        <w:numPr>
          <w:ilvl w:val="0"/>
          <w:numId w:val="6"/>
        </w:numPr>
        <w:jc w:val="both"/>
        <w:rPr>
          <w:rFonts w:asciiTheme="majorHAnsi" w:hAnsiTheme="majorHAnsi"/>
        </w:rPr>
      </w:pPr>
      <w:r w:rsidRPr="005B29DC">
        <w:rPr>
          <w:rFonts w:asciiTheme="majorHAnsi" w:hAnsiTheme="majorHAnsi"/>
        </w:rPr>
        <w:t>ensure that effective reporting and record</w:t>
      </w:r>
      <w:r w:rsidRPr="005B29DC">
        <w:rPr>
          <w:rFonts w:asciiTheme="majorHAnsi" w:hAnsiTheme="majorHAnsi"/>
        </w:rPr>
        <w:noBreakHyphen/>
        <w:t>keeping systems are in place</w:t>
      </w:r>
    </w:p>
    <w:p w14:paraId="6A5B87A7" w14:textId="146A15F4" w:rsidR="005B29DC" w:rsidRDefault="005B29DC" w:rsidP="005B29DC">
      <w:pPr>
        <w:pStyle w:val="NormalWeb"/>
        <w:numPr>
          <w:ilvl w:val="0"/>
          <w:numId w:val="6"/>
        </w:numPr>
        <w:jc w:val="both"/>
        <w:rPr>
          <w:rFonts w:asciiTheme="majorHAnsi" w:hAnsiTheme="majorHAnsi"/>
        </w:rPr>
      </w:pPr>
      <w:r w:rsidRPr="005B29DC">
        <w:rPr>
          <w:rFonts w:asciiTheme="majorHAnsi" w:hAnsiTheme="majorHAnsi"/>
        </w:rPr>
        <w:t>support timely and organised management of incidents</w:t>
      </w:r>
    </w:p>
    <w:p w14:paraId="49E0366B" w14:textId="4952CCE8" w:rsidR="005B29DC" w:rsidRDefault="005B29DC" w:rsidP="005B29DC">
      <w:pPr>
        <w:pStyle w:val="NormalWeb"/>
        <w:numPr>
          <w:ilvl w:val="0"/>
          <w:numId w:val="6"/>
        </w:numPr>
        <w:jc w:val="both"/>
        <w:rPr>
          <w:rFonts w:asciiTheme="majorHAnsi" w:hAnsiTheme="majorHAnsi"/>
        </w:rPr>
      </w:pPr>
      <w:r w:rsidRPr="005B29DC">
        <w:rPr>
          <w:rFonts w:asciiTheme="majorHAnsi" w:hAnsiTheme="majorHAnsi"/>
        </w:rPr>
        <w:t xml:space="preserve">establish clear lines of accountability for all stages of incident response. </w:t>
      </w:r>
    </w:p>
    <w:p w14:paraId="598A68BB" w14:textId="335B1FD0" w:rsidR="005B29DC" w:rsidRPr="005B29DC" w:rsidRDefault="005B29DC" w:rsidP="005B29DC">
      <w:pPr>
        <w:pStyle w:val="NormalWeb"/>
        <w:jc w:val="both"/>
        <w:rPr>
          <w:rFonts w:asciiTheme="majorHAnsi" w:hAnsiTheme="majorHAnsi"/>
        </w:rPr>
      </w:pPr>
      <w:r w:rsidRPr="005B29DC">
        <w:rPr>
          <w:rFonts w:asciiTheme="majorHAnsi" w:hAnsiTheme="majorHAnsi"/>
        </w:rPr>
        <w:t>The policy ensures that all staff, including temporary and contracted workers, understand how incidents are reported and managed, and that communication with patients, families and carers is carried out in accordance with the Duty of Candour. The organisation is committed to learning from incidents and implementing changes to practice, systems and environments to reduce the risk of recurrence.</w:t>
      </w:r>
    </w:p>
    <w:p w14:paraId="2DE0BC74"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3. Scope</w:t>
      </w:r>
    </w:p>
    <w:p w14:paraId="21AA84E9" w14:textId="25792F88" w:rsidR="005B29DC" w:rsidRPr="005B29DC" w:rsidRDefault="005B29DC" w:rsidP="005B29DC">
      <w:pPr>
        <w:pStyle w:val="NormalWeb"/>
        <w:jc w:val="both"/>
        <w:rPr>
          <w:rFonts w:asciiTheme="majorHAnsi" w:hAnsiTheme="majorHAnsi"/>
        </w:rPr>
      </w:pPr>
      <w:r w:rsidRPr="005B29DC">
        <w:rPr>
          <w:rFonts w:asciiTheme="majorHAnsi" w:hAnsiTheme="majorHAnsi"/>
        </w:rPr>
        <w:t>This policy applies to all patient safety incident responses undertaken for the purpose of learning and improvement across Heart Networks. Responses follow a systems</w:t>
      </w:r>
      <w:r w:rsidRPr="005B29DC">
        <w:rPr>
          <w:rFonts w:asciiTheme="majorHAnsi" w:hAnsiTheme="majorHAnsi"/>
        </w:rPr>
        <w:noBreakHyphen/>
        <w:t xml:space="preserve">based approach, recognising that safety is created by the interaction of multiple components within </w:t>
      </w:r>
      <w:r w:rsidRPr="005B29DC">
        <w:rPr>
          <w:rFonts w:asciiTheme="majorHAnsi" w:hAnsiTheme="majorHAnsi"/>
        </w:rPr>
        <w:lastRenderedPageBreak/>
        <w:t>the healthcare system. The purpose of a patient safety response is not to apportion blame, determine liability or assess preventability. Other processes, such as HR investigations, coronial processes or criminal investigations, may run in parallel but do not influence the remit of a patient safety response.</w:t>
      </w:r>
    </w:p>
    <w:p w14:paraId="25B99F29" w14:textId="77777777" w:rsidR="005B29DC" w:rsidRPr="005B29DC" w:rsidRDefault="005B29DC" w:rsidP="005B29DC">
      <w:pPr>
        <w:pStyle w:val="NormalWeb"/>
        <w:jc w:val="both"/>
        <w:rPr>
          <w:rFonts w:asciiTheme="majorHAnsi" w:hAnsiTheme="majorHAnsi"/>
        </w:rPr>
      </w:pPr>
      <w:r w:rsidRPr="005B29DC">
        <w:rPr>
          <w:rFonts w:asciiTheme="majorHAnsi" w:hAnsiTheme="majorHAnsi"/>
        </w:rPr>
        <w:t>Information from a patient safety response may be shared with those leading other processes where appropriate, but the learning response remains focused solely on understanding what happened and identifying opportunities for improvement.</w:t>
      </w:r>
    </w:p>
    <w:p w14:paraId="5D1BAA6E"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4. Equality and Health Inequalities</w:t>
      </w:r>
    </w:p>
    <w:p w14:paraId="09662331" w14:textId="77777777" w:rsidR="005B29DC" w:rsidRPr="005B29DC" w:rsidRDefault="005B29DC" w:rsidP="005B29DC">
      <w:pPr>
        <w:pStyle w:val="NormalWeb"/>
        <w:jc w:val="both"/>
        <w:rPr>
          <w:rFonts w:asciiTheme="majorHAnsi" w:hAnsiTheme="majorHAnsi"/>
        </w:rPr>
      </w:pPr>
      <w:r w:rsidRPr="005B29DC">
        <w:rPr>
          <w:rFonts w:asciiTheme="majorHAnsi" w:hAnsiTheme="majorHAnsi"/>
        </w:rPr>
        <w:t xml:space="preserve">Heart Networks UK Limited is committed to promoting equality, diversity and human rights in all aspects of its work. The organisation undertakes equality analysis to ensure that its activities do not discriminate </w:t>
      </w:r>
      <w:proofErr w:type="gramStart"/>
      <w:r w:rsidRPr="005B29DC">
        <w:rPr>
          <w:rFonts w:asciiTheme="majorHAnsi" w:hAnsiTheme="majorHAnsi"/>
        </w:rPr>
        <w:t>on the basis of</w:t>
      </w:r>
      <w:proofErr w:type="gramEnd"/>
      <w:r w:rsidRPr="005B29DC">
        <w:rPr>
          <w:rFonts w:asciiTheme="majorHAnsi" w:hAnsiTheme="majorHAnsi"/>
        </w:rPr>
        <w:t xml:space="preserve"> protected characteristics. When responding to patient safety incidents, the organisation considers whether any groups of patients may be at disproportionate risk and uses data intelligently to identify patterns or inequalities. Engagement with patients, families and staff is adapted to meet individual needs, ensuring that communication is accessible, inclusive and sensitive.</w:t>
      </w:r>
    </w:p>
    <w:p w14:paraId="2E60D17D"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5. Patient Safety Culture</w:t>
      </w:r>
    </w:p>
    <w:p w14:paraId="53517536" w14:textId="77777777" w:rsidR="005B29DC" w:rsidRPr="005B29DC" w:rsidRDefault="005B29DC" w:rsidP="005B29DC">
      <w:pPr>
        <w:pStyle w:val="NormalWeb"/>
        <w:jc w:val="both"/>
        <w:rPr>
          <w:rFonts w:asciiTheme="majorHAnsi" w:hAnsiTheme="majorHAnsi"/>
        </w:rPr>
      </w:pPr>
      <w:r w:rsidRPr="005B29DC">
        <w:rPr>
          <w:rFonts w:asciiTheme="majorHAnsi" w:hAnsiTheme="majorHAnsi"/>
        </w:rPr>
        <w:t>The organisation aims to foster a restorative, just and learning culture in which staff feel confident to report incidents without fear of blame. Disciplinary or legal action will only be considered in cases of alleged gross misconduct, repeated unsafe behaviour, professional malpractice or criminal activity. Staff involved in incidents are supported throughout the process, recognising the emotional impact that such events can have. Their accounts and insights are valued as essential contributions to system learning.</w:t>
      </w:r>
    </w:p>
    <w:p w14:paraId="770A796C" w14:textId="77777777" w:rsidR="005B29DC" w:rsidRPr="005B29DC" w:rsidRDefault="005B29DC" w:rsidP="005B29DC">
      <w:pPr>
        <w:pStyle w:val="NormalWeb"/>
        <w:jc w:val="both"/>
        <w:rPr>
          <w:rFonts w:asciiTheme="majorHAnsi" w:hAnsiTheme="majorHAnsi"/>
        </w:rPr>
      </w:pPr>
      <w:r w:rsidRPr="005B29DC">
        <w:rPr>
          <w:rFonts w:asciiTheme="majorHAnsi" w:hAnsiTheme="majorHAnsi"/>
        </w:rPr>
        <w:t>All staff with knowledge of an incident are encouraged to participate in the learning response. The person leading the review will agree timescales for feedback and ensure that staff are kept informed throughout.</w:t>
      </w:r>
    </w:p>
    <w:p w14:paraId="67E11825"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6. Patient Safety Partners and Engagement</w:t>
      </w:r>
    </w:p>
    <w:p w14:paraId="416843A5" w14:textId="77777777" w:rsidR="005B29DC" w:rsidRPr="005B29DC" w:rsidRDefault="005B29DC" w:rsidP="005B29DC">
      <w:pPr>
        <w:pStyle w:val="NormalWeb"/>
        <w:jc w:val="both"/>
        <w:rPr>
          <w:rFonts w:asciiTheme="majorHAnsi" w:hAnsiTheme="majorHAnsi"/>
        </w:rPr>
      </w:pPr>
      <w:r w:rsidRPr="005B29DC">
        <w:rPr>
          <w:rFonts w:asciiTheme="majorHAnsi" w:hAnsiTheme="majorHAnsi"/>
        </w:rPr>
        <w:t>Heart Networks UK Limited encourages patients, families, carers and staff to contribute to safety improvements. Patient Safety Partners (PSPs) play an important role in shaping safety actions and ensuring that learning reflects the needs of those who use services. The organisation is committed to compassionate engagement with those affected by incidents, ensuring that their questions are answered, their experiences are understood and they are signposted to support where needed. Duty of Candour requirements are followed in full, and communication is open, honest and timely.</w:t>
      </w:r>
    </w:p>
    <w:p w14:paraId="57F7E29D"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7. Patient Safety Incident Response Planning</w:t>
      </w:r>
    </w:p>
    <w:p w14:paraId="5BBD7A6C" w14:textId="77777777" w:rsidR="005B29DC" w:rsidRPr="005B29DC" w:rsidRDefault="005B29DC" w:rsidP="005B29DC">
      <w:pPr>
        <w:pStyle w:val="NormalWeb"/>
        <w:jc w:val="both"/>
        <w:rPr>
          <w:rFonts w:asciiTheme="majorHAnsi" w:hAnsiTheme="majorHAnsi"/>
        </w:rPr>
      </w:pPr>
      <w:r w:rsidRPr="005B29DC">
        <w:rPr>
          <w:rFonts w:asciiTheme="majorHAnsi" w:hAnsiTheme="majorHAnsi"/>
        </w:rPr>
        <w:t>The organisation’s Patient Safety Incident Response Plan (PSIRP) outlines how it intends to respond to patient safety incidents over a 12–18</w:t>
      </w:r>
      <w:r w:rsidRPr="005B29DC">
        <w:rPr>
          <w:rFonts w:asciiTheme="majorHAnsi" w:hAnsiTheme="majorHAnsi"/>
        </w:rPr>
        <w:noBreakHyphen/>
        <w:t xml:space="preserve">month period. The plan is flexible and may be adapted to reflect the specific circumstances of individual incidents. It is reviewed regularly to </w:t>
      </w:r>
      <w:r w:rsidRPr="005B29DC">
        <w:rPr>
          <w:rFonts w:asciiTheme="majorHAnsi" w:hAnsiTheme="majorHAnsi"/>
        </w:rPr>
        <w:lastRenderedPageBreak/>
        <w:t>ensure that it remains relevant and aligned with organisational priorities, emerging risks and ongoing improvement work. A more comprehensive review is undertaken every four years, including analysis of incident data, complaints, staff feedback and stakeholder engagement.</w:t>
      </w:r>
    </w:p>
    <w:p w14:paraId="0F0E75D3"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8. Responding to Patient Safety Incidents</w:t>
      </w:r>
    </w:p>
    <w:p w14:paraId="38CAEB68" w14:textId="77777777" w:rsidR="005B29DC" w:rsidRPr="005B29DC" w:rsidRDefault="005B29DC" w:rsidP="005B29DC">
      <w:pPr>
        <w:pStyle w:val="NormalWeb"/>
        <w:jc w:val="both"/>
        <w:rPr>
          <w:rFonts w:asciiTheme="majorHAnsi" w:hAnsiTheme="majorHAnsi"/>
        </w:rPr>
      </w:pPr>
      <w:r w:rsidRPr="005B29DC">
        <w:rPr>
          <w:rFonts w:asciiTheme="majorHAnsi" w:hAnsiTheme="majorHAnsi"/>
        </w:rPr>
        <w:t>Any staff member involved in or witnessing an incident must document the event in the patient’s record, ensuring that the information is factual, clear and complete. Details should include what happened, who was involved, when and where it occurred, the severity of actual or potential harm, and any immediate actions taken. Staff recollections should be signed, dated and legible.</w:t>
      </w:r>
    </w:p>
    <w:p w14:paraId="5BB5C0C2" w14:textId="59D477B9" w:rsidR="005B29DC" w:rsidRPr="005B29DC" w:rsidRDefault="005B29DC" w:rsidP="005B29DC">
      <w:pPr>
        <w:pStyle w:val="NormalWeb"/>
        <w:jc w:val="both"/>
        <w:rPr>
          <w:rFonts w:asciiTheme="majorHAnsi" w:hAnsiTheme="majorHAnsi"/>
        </w:rPr>
      </w:pPr>
      <w:r w:rsidRPr="005B29DC">
        <w:rPr>
          <w:rFonts w:asciiTheme="majorHAnsi" w:hAnsiTheme="majorHAnsi"/>
        </w:rPr>
        <w:t xml:space="preserve">Incidents must be reported through the organisation’s incident reporting system, and the </w:t>
      </w:r>
      <w:r>
        <w:rPr>
          <w:rFonts w:asciiTheme="majorHAnsi" w:hAnsiTheme="majorHAnsi"/>
        </w:rPr>
        <w:t>Operations</w:t>
      </w:r>
      <w:r w:rsidRPr="005B29DC">
        <w:rPr>
          <w:rFonts w:asciiTheme="majorHAnsi" w:hAnsiTheme="majorHAnsi"/>
        </w:rPr>
        <w:t xml:space="preserve"> Manager or Director must be informed verbally as soon as possible. The responsible manager ensures that patients, families and staff receive immediate support, that staff accounts are collected promptly, and that relevant internal and external bodies are notified in line with national requirements.</w:t>
      </w:r>
    </w:p>
    <w:p w14:paraId="66B0B35B" w14:textId="77777777" w:rsidR="005B29DC" w:rsidRPr="005B29DC" w:rsidRDefault="005B29DC" w:rsidP="005B29DC">
      <w:pPr>
        <w:pStyle w:val="NormalWeb"/>
        <w:jc w:val="both"/>
        <w:rPr>
          <w:rFonts w:asciiTheme="majorHAnsi" w:hAnsiTheme="majorHAnsi"/>
        </w:rPr>
      </w:pPr>
      <w:r w:rsidRPr="005B29DC">
        <w:rPr>
          <w:rFonts w:asciiTheme="majorHAnsi" w:hAnsiTheme="majorHAnsi"/>
        </w:rPr>
        <w:t>A proportionate learning response is then selected. This may include a rapid review, a structured learning response, a patient safety incident investigation or a thematic review, depending on the nature and complexity of the incident. The focus is on understanding system factors, identifying learning and developing meaningful safety actions.</w:t>
      </w:r>
    </w:p>
    <w:p w14:paraId="23DDA4F1"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9. Monitoring, Learning and Improvement</w:t>
      </w:r>
    </w:p>
    <w:p w14:paraId="090D8733" w14:textId="788E316B" w:rsidR="005B29DC" w:rsidRPr="005B29DC" w:rsidRDefault="005B29DC" w:rsidP="005B29DC">
      <w:pPr>
        <w:pStyle w:val="NormalWeb"/>
        <w:jc w:val="both"/>
        <w:rPr>
          <w:rFonts w:asciiTheme="majorHAnsi" w:hAnsiTheme="majorHAnsi"/>
        </w:rPr>
      </w:pPr>
      <w:r w:rsidRPr="005B29DC">
        <w:rPr>
          <w:rFonts w:asciiTheme="majorHAnsi" w:hAnsiTheme="majorHAnsi"/>
        </w:rPr>
        <w:t xml:space="preserve">Patient experience, feedback and incident data provide valuable insights into the quality and safety of care. The Patient Safety Incident Management Team reviews incidents, complaints, surveys and other feedback </w:t>
      </w:r>
      <w:r w:rsidRPr="005B29DC">
        <w:rPr>
          <w:rFonts w:asciiTheme="majorHAnsi" w:hAnsiTheme="majorHAnsi"/>
        </w:rPr>
        <w:t>monthly</w:t>
      </w:r>
      <w:r w:rsidRPr="005B29DC">
        <w:rPr>
          <w:rFonts w:asciiTheme="majorHAnsi" w:hAnsiTheme="majorHAnsi"/>
        </w:rPr>
        <w:t xml:space="preserve"> to identify themes, trends and opportunities for improvement. Findings are shared with relevant teams to support the implementation of safety actions, and progress is monitored to ensure that changes are embedded and effective.</w:t>
      </w:r>
    </w:p>
    <w:p w14:paraId="6708543D" w14:textId="77777777" w:rsidR="005B29DC" w:rsidRPr="005B29DC" w:rsidRDefault="005B29DC" w:rsidP="005B29DC">
      <w:pPr>
        <w:pStyle w:val="NormalWeb"/>
        <w:jc w:val="both"/>
        <w:rPr>
          <w:rFonts w:asciiTheme="majorHAnsi" w:hAnsiTheme="majorHAnsi"/>
        </w:rPr>
      </w:pPr>
      <w:r w:rsidRPr="005B29DC">
        <w:rPr>
          <w:rFonts w:asciiTheme="majorHAnsi" w:hAnsiTheme="majorHAnsi"/>
        </w:rPr>
        <w:t>Audit activity is used to evaluate whether improvements have been sustained and whether further action is required. Themes and learning are escalated through governance processes and shared with external partners, including the Integrated Care Board and the Care Quality Commission, to support wider system learning.</w:t>
      </w:r>
    </w:p>
    <w:p w14:paraId="4594A883"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10. Complaints and Appeals</w:t>
      </w:r>
    </w:p>
    <w:p w14:paraId="73118932" w14:textId="77777777" w:rsidR="005B29DC" w:rsidRPr="005B29DC" w:rsidRDefault="005B29DC" w:rsidP="005B29DC">
      <w:pPr>
        <w:pStyle w:val="NormalWeb"/>
        <w:jc w:val="both"/>
        <w:rPr>
          <w:rFonts w:asciiTheme="majorHAnsi" w:hAnsiTheme="majorHAnsi"/>
        </w:rPr>
      </w:pPr>
      <w:r w:rsidRPr="005B29DC">
        <w:rPr>
          <w:rFonts w:asciiTheme="majorHAnsi" w:hAnsiTheme="majorHAnsi"/>
        </w:rPr>
        <w:t>Concerns, complaints and appeals continue to be managed in accordance with the organisation’s Complaints Policy. Heart Networks UK Limited upholds the NHS Constitution and encourages patients, families and carers to raise concerns at the earliest opportunity. Complaints data is reviewed alongside incident data to identify learning and inform improvement work.</w:t>
      </w:r>
    </w:p>
    <w:p w14:paraId="02C93AAE" w14:textId="77777777" w:rsidR="005B29DC" w:rsidRPr="005B29DC" w:rsidRDefault="005B29DC" w:rsidP="005B29DC">
      <w:pPr>
        <w:pStyle w:val="NormalWeb"/>
        <w:jc w:val="both"/>
        <w:rPr>
          <w:rFonts w:asciiTheme="majorHAnsi" w:hAnsiTheme="majorHAnsi"/>
        </w:rPr>
      </w:pPr>
      <w:r w:rsidRPr="005B29DC">
        <w:rPr>
          <w:rStyle w:val="Strong"/>
          <w:rFonts w:asciiTheme="majorHAnsi" w:eastAsiaTheme="majorEastAsia" w:hAnsiTheme="majorHAnsi"/>
        </w:rPr>
        <w:t>11. Review of this Policy</w:t>
      </w:r>
    </w:p>
    <w:p w14:paraId="7CDCCDE5" w14:textId="77777777" w:rsidR="005B29DC" w:rsidRPr="005B29DC" w:rsidRDefault="005B29DC" w:rsidP="005B29DC">
      <w:pPr>
        <w:pStyle w:val="NormalWeb"/>
        <w:jc w:val="both"/>
        <w:rPr>
          <w:rFonts w:asciiTheme="majorHAnsi" w:hAnsiTheme="majorHAnsi"/>
        </w:rPr>
      </w:pPr>
      <w:r w:rsidRPr="005B29DC">
        <w:rPr>
          <w:rFonts w:asciiTheme="majorHAnsi" w:hAnsiTheme="majorHAnsi"/>
        </w:rPr>
        <w:lastRenderedPageBreak/>
        <w:t>This policy will be reviewed every two years, or sooner if required by changes in legislation, national guidance or organisational need. Updated versions will be published on the organisation’s website.</w:t>
      </w:r>
    </w:p>
    <w:p w14:paraId="3E1B6198" w14:textId="3DD3BC3C" w:rsidR="002C70C3" w:rsidRPr="005B29DC" w:rsidRDefault="002C70C3" w:rsidP="005B29DC">
      <w:pPr>
        <w:jc w:val="both"/>
        <w:rPr>
          <w:rFonts w:asciiTheme="majorHAnsi" w:hAnsiTheme="majorHAnsi"/>
          <w:lang w:val="en-US"/>
        </w:rPr>
      </w:pPr>
    </w:p>
    <w:sectPr w:rsidR="002C70C3" w:rsidRPr="005B29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FAC4" w14:textId="77777777" w:rsidR="001A3012" w:rsidRPr="00BE46B6" w:rsidRDefault="001A3012" w:rsidP="00BE46B6">
      <w:pPr>
        <w:spacing w:after="0" w:line="240" w:lineRule="auto"/>
      </w:pPr>
      <w:r w:rsidRPr="00BE46B6">
        <w:separator/>
      </w:r>
    </w:p>
  </w:endnote>
  <w:endnote w:type="continuationSeparator" w:id="0">
    <w:p w14:paraId="6B79F81B" w14:textId="77777777" w:rsidR="001A3012" w:rsidRPr="00BE46B6" w:rsidRDefault="001A3012" w:rsidP="00BE46B6">
      <w:pPr>
        <w:spacing w:after="0" w:line="240" w:lineRule="auto"/>
      </w:pPr>
      <w:r w:rsidRPr="00BE4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4BACC6"/>
        <w:left w:val="single" w:sz="8" w:space="0" w:color="4BACC6"/>
        <w:bottom w:val="single" w:sz="8" w:space="0" w:color="4BACC6"/>
        <w:right w:val="single" w:sz="8" w:space="0" w:color="4BACC6"/>
        <w:insideH w:val="single" w:sz="8" w:space="0" w:color="4BACC6"/>
      </w:tblBorders>
      <w:tblLook w:val="04A0" w:firstRow="1" w:lastRow="0" w:firstColumn="1" w:lastColumn="0" w:noHBand="0" w:noVBand="1"/>
    </w:tblPr>
    <w:tblGrid>
      <w:gridCol w:w="1297"/>
      <w:gridCol w:w="1486"/>
      <w:gridCol w:w="1556"/>
      <w:gridCol w:w="2107"/>
      <w:gridCol w:w="2560"/>
    </w:tblGrid>
    <w:tr w:rsidR="00BE46B6" w:rsidRPr="00BE46B6" w14:paraId="23415334" w14:textId="77777777" w:rsidTr="00B87068">
      <w:tc>
        <w:tcPr>
          <w:tcW w:w="720" w:type="pct"/>
          <w:tcBorders>
            <w:top w:val="single" w:sz="8" w:space="0" w:color="4BACC6"/>
            <w:left w:val="single" w:sz="8" w:space="0" w:color="4BACC6"/>
            <w:bottom w:val="single" w:sz="8" w:space="0" w:color="4BACC6"/>
            <w:right w:val="nil"/>
          </w:tcBorders>
          <w:shd w:val="clear" w:color="auto" w:fill="BFBFBF"/>
          <w:hideMark/>
        </w:tcPr>
        <w:p w14:paraId="26CDC858" w14:textId="77777777" w:rsidR="00BE46B6" w:rsidRPr="00BE46B6" w:rsidRDefault="00BE46B6" w:rsidP="00BE46B6">
          <w:pPr>
            <w:spacing w:after="0" w:line="240" w:lineRule="auto"/>
            <w:jc w:val="both"/>
            <w:rPr>
              <w:rFonts w:ascii="Calibri" w:eastAsia="Calibri" w:hAnsi="Calibri" w:cs="Times New Roman"/>
              <w:bCs/>
              <w:color w:val="FFFFFF"/>
              <w:sz w:val="18"/>
              <w:szCs w:val="18"/>
              <w:lang w:eastAsia="en-GB"/>
            </w:rPr>
          </w:pPr>
          <w:r w:rsidRPr="00BE46B6">
            <w:rPr>
              <w:rFonts w:ascii="Calibri" w:eastAsia="Calibri" w:hAnsi="Calibri" w:cs="Times New Roman"/>
              <w:bCs/>
              <w:color w:val="FFFFFF"/>
              <w:sz w:val="18"/>
              <w:szCs w:val="18"/>
              <w:lang w:eastAsia="en-GB"/>
            </w:rPr>
            <w:t>Version</w:t>
          </w:r>
        </w:p>
      </w:tc>
      <w:tc>
        <w:tcPr>
          <w:tcW w:w="825" w:type="pct"/>
          <w:tcBorders>
            <w:top w:val="single" w:sz="8" w:space="0" w:color="4BACC6"/>
            <w:left w:val="nil"/>
            <w:bottom w:val="single" w:sz="8" w:space="0" w:color="4BACC6"/>
            <w:right w:val="nil"/>
          </w:tcBorders>
          <w:shd w:val="clear" w:color="auto" w:fill="BFBFBF"/>
          <w:hideMark/>
        </w:tcPr>
        <w:p w14:paraId="3F8BA48C" w14:textId="77777777" w:rsidR="00BE46B6" w:rsidRPr="00BE46B6" w:rsidRDefault="00BE46B6" w:rsidP="00BE46B6">
          <w:pPr>
            <w:spacing w:after="0" w:line="240" w:lineRule="auto"/>
            <w:jc w:val="both"/>
            <w:rPr>
              <w:rFonts w:ascii="Calibri" w:eastAsia="Calibri" w:hAnsi="Calibri" w:cs="Times New Roman"/>
              <w:bCs/>
              <w:color w:val="FFFFFF"/>
              <w:sz w:val="18"/>
              <w:szCs w:val="18"/>
              <w:lang w:eastAsia="en-GB"/>
            </w:rPr>
          </w:pPr>
          <w:r w:rsidRPr="00BE46B6">
            <w:rPr>
              <w:rFonts w:ascii="Calibri" w:eastAsia="Calibri" w:hAnsi="Calibri" w:cs="Times New Roman"/>
              <w:bCs/>
              <w:color w:val="FFFFFF"/>
              <w:sz w:val="18"/>
              <w:szCs w:val="18"/>
              <w:lang w:eastAsia="en-GB"/>
            </w:rPr>
            <w:t xml:space="preserve">Date Published </w:t>
          </w:r>
        </w:p>
      </w:tc>
      <w:tc>
        <w:tcPr>
          <w:tcW w:w="864" w:type="pct"/>
          <w:tcBorders>
            <w:top w:val="single" w:sz="8" w:space="0" w:color="4BACC6"/>
            <w:left w:val="nil"/>
            <w:bottom w:val="single" w:sz="8" w:space="0" w:color="4BACC6"/>
            <w:right w:val="nil"/>
          </w:tcBorders>
          <w:shd w:val="clear" w:color="auto" w:fill="BFBFBF"/>
          <w:hideMark/>
        </w:tcPr>
        <w:p w14:paraId="6B345AC2" w14:textId="77777777" w:rsidR="00BE46B6" w:rsidRPr="00BE46B6" w:rsidRDefault="00BE46B6" w:rsidP="00BE46B6">
          <w:pPr>
            <w:spacing w:after="0" w:line="240" w:lineRule="auto"/>
            <w:jc w:val="both"/>
            <w:rPr>
              <w:rFonts w:ascii="Calibri" w:eastAsia="Calibri" w:hAnsi="Calibri" w:cs="Times New Roman"/>
              <w:bCs/>
              <w:color w:val="FFFFFF"/>
              <w:sz w:val="18"/>
              <w:szCs w:val="18"/>
              <w:lang w:eastAsia="en-GB"/>
            </w:rPr>
          </w:pPr>
          <w:r w:rsidRPr="00BE46B6">
            <w:rPr>
              <w:rFonts w:ascii="Calibri" w:eastAsia="Calibri" w:hAnsi="Calibri" w:cs="Times New Roman"/>
              <w:bCs/>
              <w:color w:val="FFFFFF"/>
              <w:sz w:val="18"/>
              <w:szCs w:val="18"/>
              <w:lang w:eastAsia="en-GB"/>
            </w:rPr>
            <w:t xml:space="preserve">Review Status </w:t>
          </w:r>
        </w:p>
      </w:tc>
      <w:tc>
        <w:tcPr>
          <w:tcW w:w="1170" w:type="pct"/>
          <w:tcBorders>
            <w:top w:val="single" w:sz="8" w:space="0" w:color="4BACC6"/>
            <w:left w:val="nil"/>
            <w:bottom w:val="single" w:sz="8" w:space="0" w:color="4BACC6"/>
            <w:right w:val="nil"/>
          </w:tcBorders>
          <w:shd w:val="clear" w:color="auto" w:fill="BFBFBF"/>
          <w:hideMark/>
        </w:tcPr>
        <w:p w14:paraId="528AC4C1" w14:textId="77777777" w:rsidR="00BE46B6" w:rsidRPr="00BE46B6" w:rsidRDefault="00BE46B6" w:rsidP="00BE46B6">
          <w:pPr>
            <w:spacing w:after="0" w:line="240" w:lineRule="auto"/>
            <w:jc w:val="both"/>
            <w:rPr>
              <w:rFonts w:ascii="Calibri" w:eastAsia="Calibri" w:hAnsi="Calibri" w:cs="Times New Roman"/>
              <w:bCs/>
              <w:color w:val="FFFFFF"/>
              <w:sz w:val="18"/>
              <w:szCs w:val="18"/>
              <w:lang w:eastAsia="en-GB"/>
            </w:rPr>
          </w:pPr>
          <w:r w:rsidRPr="00BE46B6">
            <w:rPr>
              <w:rFonts w:ascii="Calibri" w:eastAsia="Calibri" w:hAnsi="Calibri" w:cs="Times New Roman"/>
              <w:bCs/>
              <w:color w:val="FFFFFF"/>
              <w:sz w:val="18"/>
              <w:szCs w:val="18"/>
              <w:lang w:eastAsia="en-GB"/>
            </w:rPr>
            <w:t>Review Due</w:t>
          </w:r>
        </w:p>
      </w:tc>
      <w:tc>
        <w:tcPr>
          <w:tcW w:w="1421" w:type="pct"/>
          <w:vMerge w:val="restart"/>
          <w:tcBorders>
            <w:top w:val="single" w:sz="8" w:space="0" w:color="4BACC6"/>
            <w:left w:val="nil"/>
            <w:bottom w:val="single" w:sz="8" w:space="0" w:color="4BACC6"/>
            <w:right w:val="single" w:sz="8" w:space="0" w:color="4BACC6"/>
          </w:tcBorders>
          <w:shd w:val="clear" w:color="auto" w:fill="BFBFBF"/>
        </w:tcPr>
        <w:p w14:paraId="30AAF8C1" w14:textId="77777777" w:rsidR="00BE46B6" w:rsidRPr="00BE46B6" w:rsidRDefault="00BE46B6" w:rsidP="00BE46B6">
          <w:pPr>
            <w:spacing w:after="0" w:line="240" w:lineRule="auto"/>
            <w:jc w:val="center"/>
            <w:rPr>
              <w:rFonts w:ascii="Calibri" w:eastAsia="Calibri" w:hAnsi="Calibri" w:cs="Times New Roman"/>
              <w:bCs/>
              <w:color w:val="FFFFFF"/>
              <w:sz w:val="18"/>
              <w:szCs w:val="18"/>
              <w:lang w:eastAsia="en-GB"/>
            </w:rPr>
          </w:pPr>
          <w:r w:rsidRPr="00BE46B6">
            <w:rPr>
              <w:rFonts w:ascii="Calibri" w:eastAsia="Calibri" w:hAnsi="Calibri" w:cs="Times New Roman"/>
              <w:bCs/>
              <w:color w:val="FFFFFF"/>
              <w:sz w:val="18"/>
              <w:szCs w:val="18"/>
              <w:lang w:eastAsia="en-GB"/>
            </w:rPr>
            <w:t xml:space="preserve"> </w:t>
          </w:r>
        </w:p>
        <w:p w14:paraId="2A15D962" w14:textId="77777777" w:rsidR="00BE46B6" w:rsidRPr="00BE46B6" w:rsidRDefault="00BE46B6" w:rsidP="00BE46B6">
          <w:pPr>
            <w:spacing w:after="0" w:line="240" w:lineRule="auto"/>
            <w:jc w:val="right"/>
            <w:rPr>
              <w:rFonts w:ascii="Calibri" w:eastAsia="Calibri" w:hAnsi="Calibri" w:cs="Times New Roman"/>
              <w:b/>
              <w:bCs/>
              <w:color w:val="FFFFFF"/>
              <w:sz w:val="18"/>
              <w:szCs w:val="18"/>
              <w:lang w:eastAsia="en-GB"/>
            </w:rPr>
          </w:pPr>
          <w:r w:rsidRPr="00BE46B6">
            <w:rPr>
              <w:rFonts w:ascii="Calibri" w:eastAsia="Calibri" w:hAnsi="Calibri" w:cs="Times New Roman"/>
              <w:b/>
              <w:bCs/>
              <w:color w:val="FFFFFF"/>
              <w:sz w:val="18"/>
              <w:szCs w:val="18"/>
              <w:lang w:eastAsia="en-GB"/>
            </w:rPr>
            <w:t>Patient Safety Incident Response Policy</w:t>
          </w:r>
        </w:p>
      </w:tc>
    </w:tr>
    <w:tr w:rsidR="00BE46B6" w:rsidRPr="00BE46B6" w14:paraId="387D7A1D" w14:textId="77777777" w:rsidTr="00B87068">
      <w:tc>
        <w:tcPr>
          <w:tcW w:w="720" w:type="pct"/>
          <w:tcBorders>
            <w:top w:val="single" w:sz="8" w:space="0" w:color="4BACC6"/>
            <w:left w:val="single" w:sz="8" w:space="0" w:color="4BACC6"/>
            <w:bottom w:val="single" w:sz="8" w:space="0" w:color="4BACC6"/>
            <w:right w:val="nil"/>
          </w:tcBorders>
          <w:hideMark/>
        </w:tcPr>
        <w:p w14:paraId="1C21BA20" w14:textId="170EBD9F" w:rsidR="00BE46B6" w:rsidRPr="00BE46B6" w:rsidRDefault="00BE46B6" w:rsidP="00BE46B6">
          <w:pPr>
            <w:spacing w:after="0" w:line="240" w:lineRule="auto"/>
            <w:jc w:val="both"/>
            <w:rPr>
              <w:rFonts w:ascii="Calibri" w:eastAsia="Calibri" w:hAnsi="Calibri" w:cs="Times New Roman"/>
              <w:b/>
              <w:bCs/>
              <w:sz w:val="18"/>
              <w:szCs w:val="18"/>
              <w:lang w:eastAsia="en-GB"/>
            </w:rPr>
          </w:pPr>
          <w:r w:rsidRPr="00BE46B6">
            <w:rPr>
              <w:rFonts w:ascii="Calibri" w:eastAsia="Calibri" w:hAnsi="Calibri" w:cs="Times New Roman"/>
              <w:b/>
              <w:bCs/>
              <w:sz w:val="18"/>
              <w:szCs w:val="18"/>
              <w:lang w:eastAsia="en-GB"/>
            </w:rPr>
            <w:t>2</w:t>
          </w:r>
        </w:p>
      </w:tc>
      <w:tc>
        <w:tcPr>
          <w:tcW w:w="825" w:type="pct"/>
          <w:tcBorders>
            <w:top w:val="single" w:sz="8" w:space="0" w:color="4BACC6"/>
            <w:left w:val="nil"/>
            <w:bottom w:val="single" w:sz="8" w:space="0" w:color="4BACC6"/>
            <w:right w:val="nil"/>
          </w:tcBorders>
          <w:hideMark/>
        </w:tcPr>
        <w:p w14:paraId="54EE14FF" w14:textId="77777777" w:rsidR="00BE46B6" w:rsidRPr="00BE46B6" w:rsidRDefault="00BE46B6" w:rsidP="00BE46B6">
          <w:pPr>
            <w:spacing w:after="0" w:line="240" w:lineRule="auto"/>
            <w:jc w:val="both"/>
            <w:rPr>
              <w:rFonts w:ascii="Calibri" w:eastAsia="Calibri" w:hAnsi="Calibri" w:cs="Times New Roman"/>
              <w:sz w:val="18"/>
              <w:szCs w:val="18"/>
              <w:lang w:eastAsia="en-GB"/>
            </w:rPr>
          </w:pPr>
          <w:r w:rsidRPr="00BE46B6">
            <w:rPr>
              <w:rFonts w:ascii="Calibri" w:eastAsia="Calibri" w:hAnsi="Calibri" w:cs="Times New Roman"/>
              <w:sz w:val="18"/>
              <w:szCs w:val="18"/>
              <w:lang w:eastAsia="en-GB"/>
            </w:rPr>
            <w:t>July 2024</w:t>
          </w:r>
        </w:p>
      </w:tc>
      <w:tc>
        <w:tcPr>
          <w:tcW w:w="864" w:type="pct"/>
          <w:tcBorders>
            <w:top w:val="single" w:sz="8" w:space="0" w:color="4BACC6"/>
            <w:left w:val="nil"/>
            <w:bottom w:val="single" w:sz="8" w:space="0" w:color="4BACC6"/>
            <w:right w:val="nil"/>
          </w:tcBorders>
          <w:hideMark/>
        </w:tcPr>
        <w:p w14:paraId="4CA85D64" w14:textId="1B529CE5" w:rsidR="00BE46B6" w:rsidRPr="00BE46B6" w:rsidRDefault="00BE46B6" w:rsidP="00BE46B6">
          <w:pPr>
            <w:spacing w:after="0" w:line="240" w:lineRule="auto"/>
            <w:rPr>
              <w:rFonts w:ascii="Calibri" w:eastAsia="Times New Roman" w:hAnsi="Calibri" w:cs="Times New Roman"/>
              <w:sz w:val="18"/>
              <w:szCs w:val="20"/>
              <w:lang w:eastAsia="en-GB"/>
            </w:rPr>
          </w:pPr>
          <w:r w:rsidRPr="00BE46B6">
            <w:rPr>
              <w:rFonts w:ascii="Calibri" w:eastAsia="Times New Roman" w:hAnsi="Calibri" w:cs="Times New Roman"/>
              <w:sz w:val="18"/>
              <w:szCs w:val="20"/>
              <w:lang w:eastAsia="en-GB"/>
            </w:rPr>
            <w:t>January 2026</w:t>
          </w:r>
        </w:p>
      </w:tc>
      <w:tc>
        <w:tcPr>
          <w:tcW w:w="1170" w:type="pct"/>
          <w:tcBorders>
            <w:top w:val="single" w:sz="8" w:space="0" w:color="4BACC6"/>
            <w:left w:val="nil"/>
            <w:bottom w:val="single" w:sz="8" w:space="0" w:color="4BACC6"/>
            <w:right w:val="nil"/>
          </w:tcBorders>
          <w:hideMark/>
        </w:tcPr>
        <w:p w14:paraId="7213AE9A" w14:textId="52AE259D" w:rsidR="00BE46B6" w:rsidRPr="00BE46B6" w:rsidRDefault="005B29DC" w:rsidP="00BE46B6">
          <w:pPr>
            <w:spacing w:after="0" w:line="240" w:lineRule="auto"/>
            <w:jc w:val="both"/>
            <w:rPr>
              <w:rFonts w:ascii="Calibri" w:eastAsia="Calibri" w:hAnsi="Calibri" w:cs="Times New Roman"/>
              <w:bCs/>
              <w:sz w:val="18"/>
              <w:szCs w:val="18"/>
              <w:highlight w:val="black"/>
              <w:lang w:eastAsia="en-GB"/>
            </w:rPr>
          </w:pPr>
          <w:r>
            <w:rPr>
              <w:rFonts w:ascii="Calibri" w:eastAsia="Calibri" w:hAnsi="Calibri" w:cs="Times New Roman"/>
              <w:sz w:val="18"/>
              <w:szCs w:val="18"/>
              <w:lang w:eastAsia="en-GB"/>
            </w:rPr>
            <w:t>January 2028</w:t>
          </w:r>
        </w:p>
      </w:tc>
      <w:tc>
        <w:tcPr>
          <w:tcW w:w="1421" w:type="pct"/>
          <w:vMerge/>
          <w:tcBorders>
            <w:top w:val="single" w:sz="8" w:space="0" w:color="4BACC6"/>
            <w:left w:val="nil"/>
            <w:bottom w:val="single" w:sz="8" w:space="0" w:color="4BACC6"/>
            <w:right w:val="single" w:sz="8" w:space="0" w:color="4BACC6"/>
          </w:tcBorders>
          <w:vAlign w:val="center"/>
          <w:hideMark/>
        </w:tcPr>
        <w:p w14:paraId="781E2BA6" w14:textId="77777777" w:rsidR="00BE46B6" w:rsidRPr="00BE46B6" w:rsidRDefault="00BE46B6" w:rsidP="00BE46B6">
          <w:pPr>
            <w:spacing w:after="0" w:line="240" w:lineRule="auto"/>
            <w:rPr>
              <w:rFonts w:ascii="Calibri" w:eastAsia="Calibri" w:hAnsi="Calibri" w:cs="Times New Roman"/>
              <w:b/>
              <w:bCs/>
              <w:color w:val="FFFFFF"/>
              <w:sz w:val="18"/>
              <w:szCs w:val="18"/>
              <w:lang w:eastAsia="en-GB"/>
            </w:rPr>
          </w:pPr>
        </w:p>
      </w:tc>
    </w:tr>
  </w:tbl>
  <w:p w14:paraId="32431BEA" w14:textId="77777777" w:rsidR="00BE46B6" w:rsidRPr="00BE46B6" w:rsidRDefault="00BE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5852" w14:textId="77777777" w:rsidR="001A3012" w:rsidRPr="00BE46B6" w:rsidRDefault="001A3012" w:rsidP="00BE46B6">
      <w:pPr>
        <w:spacing w:after="0" w:line="240" w:lineRule="auto"/>
      </w:pPr>
      <w:r w:rsidRPr="00BE46B6">
        <w:separator/>
      </w:r>
    </w:p>
  </w:footnote>
  <w:footnote w:type="continuationSeparator" w:id="0">
    <w:p w14:paraId="19DA9E31" w14:textId="77777777" w:rsidR="001A3012" w:rsidRPr="00BE46B6" w:rsidRDefault="001A3012" w:rsidP="00BE46B6">
      <w:pPr>
        <w:spacing w:after="0" w:line="240" w:lineRule="auto"/>
      </w:pPr>
      <w:r w:rsidRPr="00BE4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232B" w14:textId="4B057994" w:rsidR="00BE46B6" w:rsidRPr="00BE46B6" w:rsidRDefault="00BE46B6" w:rsidP="00BE46B6">
    <w:pPr>
      <w:pStyle w:val="Header"/>
      <w:tabs>
        <w:tab w:val="clear" w:pos="4513"/>
        <w:tab w:val="clear" w:pos="9026"/>
        <w:tab w:val="left" w:pos="1725"/>
      </w:tabs>
    </w:pPr>
    <w:r w:rsidRPr="00BE46B6">
      <w:rPr>
        <w:noProof/>
      </w:rPr>
      <w:drawing>
        <wp:anchor distT="0" distB="0" distL="114300" distR="114300" simplePos="0" relativeHeight="251659264" behindDoc="0" locked="0" layoutInCell="1" allowOverlap="1" wp14:anchorId="2C1605F9" wp14:editId="5D5D4EBC">
          <wp:simplePos x="0" y="0"/>
          <wp:positionH relativeFrom="column">
            <wp:posOffset>4381500</wp:posOffset>
          </wp:positionH>
          <wp:positionV relativeFrom="paragraph">
            <wp:posOffset>-238760</wp:posOffset>
          </wp:positionV>
          <wp:extent cx="2109470" cy="565150"/>
          <wp:effectExtent l="0" t="0" r="5080" b="6350"/>
          <wp:wrapNone/>
          <wp:docPr id="150946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96A"/>
    <w:multiLevelType w:val="hybridMultilevel"/>
    <w:tmpl w:val="C1126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76CEB"/>
    <w:multiLevelType w:val="hybridMultilevel"/>
    <w:tmpl w:val="6482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95E23"/>
    <w:multiLevelType w:val="hybridMultilevel"/>
    <w:tmpl w:val="6AB2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76EEC"/>
    <w:multiLevelType w:val="hybridMultilevel"/>
    <w:tmpl w:val="36442B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EFB5925"/>
    <w:multiLevelType w:val="hybridMultilevel"/>
    <w:tmpl w:val="02C80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208A5"/>
    <w:multiLevelType w:val="hybridMultilevel"/>
    <w:tmpl w:val="CA26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70840">
    <w:abstractNumId w:val="4"/>
  </w:num>
  <w:num w:numId="2" w16cid:durableId="701712135">
    <w:abstractNumId w:val="1"/>
  </w:num>
  <w:num w:numId="3" w16cid:durableId="1779645075">
    <w:abstractNumId w:val="0"/>
  </w:num>
  <w:num w:numId="4" w16cid:durableId="465397017">
    <w:abstractNumId w:val="2"/>
  </w:num>
  <w:num w:numId="5" w16cid:durableId="2118674524">
    <w:abstractNumId w:val="5"/>
  </w:num>
  <w:num w:numId="6" w16cid:durableId="725221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B6"/>
    <w:rsid w:val="000B2E33"/>
    <w:rsid w:val="000C6F05"/>
    <w:rsid w:val="00180F36"/>
    <w:rsid w:val="001A3012"/>
    <w:rsid w:val="0027381D"/>
    <w:rsid w:val="002C70C3"/>
    <w:rsid w:val="005B29DC"/>
    <w:rsid w:val="008B5F12"/>
    <w:rsid w:val="00BE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EB39"/>
  <w15:chartTrackingRefBased/>
  <w15:docId w15:val="{8C66EC93-0D44-4EC7-AEE6-48A97B75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6B6"/>
    <w:rPr>
      <w:rFonts w:eastAsiaTheme="majorEastAsia" w:cstheme="majorBidi"/>
      <w:color w:val="272727" w:themeColor="text1" w:themeTint="D8"/>
    </w:rPr>
  </w:style>
  <w:style w:type="paragraph" w:styleId="Title">
    <w:name w:val="Title"/>
    <w:basedOn w:val="Normal"/>
    <w:next w:val="Normal"/>
    <w:link w:val="TitleChar"/>
    <w:uiPriority w:val="10"/>
    <w:qFormat/>
    <w:rsid w:val="00BE4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6B6"/>
    <w:pPr>
      <w:spacing w:before="160"/>
      <w:jc w:val="center"/>
    </w:pPr>
    <w:rPr>
      <w:i/>
      <w:iCs/>
      <w:color w:val="404040" w:themeColor="text1" w:themeTint="BF"/>
    </w:rPr>
  </w:style>
  <w:style w:type="character" w:customStyle="1" w:styleId="QuoteChar">
    <w:name w:val="Quote Char"/>
    <w:basedOn w:val="DefaultParagraphFont"/>
    <w:link w:val="Quote"/>
    <w:uiPriority w:val="29"/>
    <w:rsid w:val="00BE46B6"/>
    <w:rPr>
      <w:i/>
      <w:iCs/>
      <w:color w:val="404040" w:themeColor="text1" w:themeTint="BF"/>
    </w:rPr>
  </w:style>
  <w:style w:type="paragraph" w:styleId="ListParagraph">
    <w:name w:val="List Paragraph"/>
    <w:basedOn w:val="Normal"/>
    <w:uiPriority w:val="34"/>
    <w:qFormat/>
    <w:rsid w:val="00BE46B6"/>
    <w:pPr>
      <w:ind w:left="720"/>
      <w:contextualSpacing/>
    </w:pPr>
  </w:style>
  <w:style w:type="character" w:styleId="IntenseEmphasis">
    <w:name w:val="Intense Emphasis"/>
    <w:basedOn w:val="DefaultParagraphFont"/>
    <w:uiPriority w:val="21"/>
    <w:qFormat/>
    <w:rsid w:val="00BE46B6"/>
    <w:rPr>
      <w:i/>
      <w:iCs/>
      <w:color w:val="0F4761" w:themeColor="accent1" w:themeShade="BF"/>
    </w:rPr>
  </w:style>
  <w:style w:type="paragraph" w:styleId="IntenseQuote">
    <w:name w:val="Intense Quote"/>
    <w:basedOn w:val="Normal"/>
    <w:next w:val="Normal"/>
    <w:link w:val="IntenseQuoteChar"/>
    <w:uiPriority w:val="30"/>
    <w:qFormat/>
    <w:rsid w:val="00BE4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6B6"/>
    <w:rPr>
      <w:i/>
      <w:iCs/>
      <w:color w:val="0F4761" w:themeColor="accent1" w:themeShade="BF"/>
    </w:rPr>
  </w:style>
  <w:style w:type="character" w:styleId="IntenseReference">
    <w:name w:val="Intense Reference"/>
    <w:basedOn w:val="DefaultParagraphFont"/>
    <w:uiPriority w:val="32"/>
    <w:qFormat/>
    <w:rsid w:val="00BE46B6"/>
    <w:rPr>
      <w:b/>
      <w:bCs/>
      <w:smallCaps/>
      <w:color w:val="0F4761" w:themeColor="accent1" w:themeShade="BF"/>
      <w:spacing w:val="5"/>
    </w:rPr>
  </w:style>
  <w:style w:type="paragraph" w:styleId="Header">
    <w:name w:val="header"/>
    <w:basedOn w:val="Normal"/>
    <w:link w:val="HeaderChar"/>
    <w:uiPriority w:val="99"/>
    <w:unhideWhenUsed/>
    <w:rsid w:val="00BE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6B6"/>
  </w:style>
  <w:style w:type="paragraph" w:styleId="Footer">
    <w:name w:val="footer"/>
    <w:basedOn w:val="Normal"/>
    <w:link w:val="FooterChar"/>
    <w:uiPriority w:val="99"/>
    <w:unhideWhenUsed/>
    <w:rsid w:val="00BE4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6B6"/>
  </w:style>
  <w:style w:type="character" w:styleId="Strong">
    <w:name w:val="Strong"/>
    <w:basedOn w:val="DefaultParagraphFont"/>
    <w:uiPriority w:val="22"/>
    <w:qFormat/>
    <w:rsid w:val="005B29DC"/>
    <w:rPr>
      <w:b/>
      <w:bCs/>
    </w:rPr>
  </w:style>
  <w:style w:type="paragraph" w:styleId="NormalWeb">
    <w:name w:val="Normal (Web)"/>
    <w:basedOn w:val="Normal"/>
    <w:uiPriority w:val="99"/>
    <w:semiHidden/>
    <w:unhideWhenUsed/>
    <w:rsid w:val="005B29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6851</Characters>
  <Application>Microsoft Office Word</Application>
  <DocSecurity>0</DocSecurity>
  <Lines>137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 Laptops Laptops</dc:creator>
  <cp:keywords/>
  <dc:description/>
  <cp:lastModifiedBy>SWEENEY, Nadia (HEART NETWORKS)</cp:lastModifiedBy>
  <cp:revision>2</cp:revision>
  <dcterms:created xsi:type="dcterms:W3CDTF">2026-01-13T10:25:00Z</dcterms:created>
  <dcterms:modified xsi:type="dcterms:W3CDTF">2026-01-13T10:25:00Z</dcterms:modified>
</cp:coreProperties>
</file>